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21" w:type="dxa"/>
        <w:jc w:val="left"/>
        <w:tblInd w:w="13" w:type="dxa"/>
        <w:tblCellMar>
          <w:top w:w="0" w:type="dxa"/>
          <w:left w:w="28" w:type="dxa"/>
          <w:bottom w:w="0" w:type="dxa"/>
          <w:right w:w="28" w:type="dxa"/>
        </w:tblCellMar>
        <w:tblLook w:val="0000" w:noHBand="0" w:noVBand="0" w:firstColumn="0" w:lastRow="0" w:lastColumn="0" w:firstRow="0"/>
      </w:tblPr>
      <w:tblGrid>
        <w:gridCol w:w="10221"/>
      </w:tblGrid>
      <w:tr>
        <w:trPr>
          <w:trHeight w:val="1813" w:hRule="atLeast"/>
        </w:trPr>
        <w:tc>
          <w:tcPr>
            <w:tcW w:w="10221" w:type="dxa"/>
            <w:tcBorders>
              <w:top w:val="double" w:sz="6" w:space="0" w:color="FFFFFF"/>
              <w:left w:val="double" w:sz="6" w:space="0" w:color="FFFFFF"/>
              <w:bottom w:val="double" w:sz="6" w:space="0" w:color="FFFFFF"/>
              <w:right w:val="double" w:sz="6" w:space="0" w:color="FFFFFF"/>
            </w:tcBorders>
          </w:tcPr>
          <w:p>
            <w:pPr>
              <w:pStyle w:val="Normal"/>
              <w:spacing w:lineRule="auto" w:line="360"/>
              <w:ind w:firstLine="6394"/>
              <w:rPr>
                <w:b/>
                <w:b/>
                <w:bCs/>
                <w:sz w:val="23"/>
                <w:szCs w:val="23"/>
              </w:rPr>
            </w:pPr>
            <w:r>
              <w:rPr>
                <w:b/>
                <w:bCs/>
                <w:sz w:val="23"/>
                <w:szCs w:val="23"/>
              </w:rPr>
              <w:t xml:space="preserve"> </w:t>
            </w:r>
          </w:p>
          <w:p>
            <w:pPr>
              <w:pStyle w:val="Normal"/>
              <w:spacing w:lineRule="auto" w:line="360"/>
              <w:ind w:firstLine="5799"/>
              <w:rPr>
                <w:b/>
                <w:b/>
                <w:bCs/>
                <w:sz w:val="23"/>
                <w:szCs w:val="23"/>
              </w:rPr>
            </w:pPr>
            <w:r>
              <w:rPr>
                <w:b/>
                <w:bCs/>
                <w:sz w:val="23"/>
                <w:szCs w:val="23"/>
              </w:rPr>
              <w:t>«УТВЕРЖДЕН»</w:t>
            </w:r>
          </w:p>
          <w:p>
            <w:pPr>
              <w:pStyle w:val="Normal"/>
              <w:spacing w:lineRule="auto" w:line="360"/>
              <w:ind w:firstLine="5799"/>
              <w:rPr/>
            </w:pPr>
            <w:r>
              <w:rPr/>
              <w:t>Общим собранием учредителей</w:t>
            </w:r>
          </w:p>
          <w:p>
            <w:pPr>
              <w:pStyle w:val="Normal"/>
              <w:spacing w:lineRule="auto" w:line="360"/>
              <w:ind w:firstLine="5799"/>
              <w:rPr/>
            </w:pPr>
            <w:r>
              <w:rPr/>
              <w:t>Протокол №01 от 10 января 202</w:t>
            </w:r>
            <w:r>
              <w:rPr>
                <w:sz w:val="24"/>
                <w:szCs w:val="24"/>
              </w:rPr>
              <w:t>2</w:t>
            </w:r>
            <w:r>
              <w:rPr/>
              <w:t xml:space="preserve"> года</w:t>
            </w:r>
          </w:p>
          <w:p>
            <w:pPr>
              <w:pStyle w:val="Normal"/>
              <w:spacing w:lineRule="auto" w:line="360"/>
              <w:ind w:left="4835" w:hanging="0"/>
              <w:rPr>
                <w:b/>
                <w:b/>
                <w:bCs/>
                <w:sz w:val="23"/>
                <w:szCs w:val="23"/>
              </w:rPr>
            </w:pPr>
            <w:r>
              <w:rPr>
                <w:b/>
                <w:bCs/>
                <w:sz w:val="23"/>
                <w:szCs w:val="23"/>
              </w:rPr>
            </w:r>
          </w:p>
        </w:tc>
      </w:tr>
      <w:tr>
        <w:trPr>
          <w:trHeight w:val="10806" w:hRule="atLeast"/>
        </w:trPr>
        <w:tc>
          <w:tcPr>
            <w:tcW w:w="10221" w:type="dxa"/>
            <w:tcBorders>
              <w:left w:val="double" w:sz="6" w:space="0" w:color="FFFFFF"/>
              <w:bottom w:val="double" w:sz="6" w:space="0" w:color="FFFFFF"/>
              <w:right w:val="double" w:sz="6" w:space="0" w:color="FFFFFF"/>
            </w:tcBorders>
          </w:tcPr>
          <w:p>
            <w:pPr>
              <w:pStyle w:val="Normal"/>
              <w:jc w:val="center"/>
              <w:rPr>
                <w:rStyle w:val="Applestylespan"/>
                <w:b/>
                <w:b/>
                <w:bCs/>
                <w:color w:val="000000"/>
                <w:sz w:val="56"/>
                <w:szCs w:val="56"/>
              </w:rPr>
            </w:pPr>
            <w:r>
              <w:rPr>
                <w:b/>
                <w:bCs/>
                <w:sz w:val="56"/>
                <w:szCs w:val="56"/>
              </w:rPr>
              <w:br/>
              <w:br/>
              <w:br/>
              <w:br/>
            </w:r>
            <w:r>
              <w:rPr>
                <w:b/>
                <w:bCs/>
                <w:caps/>
                <w:sz w:val="96"/>
                <w:szCs w:val="96"/>
              </w:rPr>
              <w:t>УСТАВ</w:t>
            </w:r>
            <w:r>
              <w:rPr>
                <w:b/>
                <w:bCs/>
                <w:sz w:val="56"/>
                <w:szCs w:val="56"/>
              </w:rPr>
              <w:br/>
              <w:br/>
            </w:r>
            <w:r>
              <w:rPr>
                <w:rStyle w:val="Applestylespan"/>
                <w:b/>
                <w:bCs/>
                <w:color w:val="000000"/>
                <w:sz w:val="56"/>
                <w:szCs w:val="56"/>
              </w:rPr>
              <w:t>ОБЩЕСТВА</w:t>
            </w:r>
          </w:p>
          <w:p>
            <w:pPr>
              <w:pStyle w:val="Normal"/>
              <w:jc w:val="center"/>
              <w:rPr>
                <w:rStyle w:val="Applestylespan"/>
                <w:b/>
                <w:b/>
                <w:bCs/>
                <w:color w:val="000000"/>
                <w:sz w:val="56"/>
                <w:szCs w:val="56"/>
              </w:rPr>
            </w:pPr>
            <w:r>
              <w:rPr>
                <w:rStyle w:val="Applestylespan"/>
                <w:b/>
                <w:bCs/>
                <w:color w:val="000000"/>
                <w:sz w:val="56"/>
                <w:szCs w:val="56"/>
              </w:rPr>
              <w:t>С ОГРАНИЧЕННОЙ</w:t>
            </w:r>
          </w:p>
          <w:p>
            <w:pPr>
              <w:pStyle w:val="Normal"/>
              <w:jc w:val="center"/>
              <w:rPr>
                <w:rStyle w:val="Applestylespan"/>
                <w:b/>
                <w:b/>
                <w:bCs/>
                <w:color w:val="000000"/>
                <w:sz w:val="56"/>
                <w:szCs w:val="56"/>
              </w:rPr>
            </w:pPr>
            <w:r>
              <w:rPr>
                <w:rStyle w:val="Applestylespan"/>
                <w:b/>
                <w:bCs/>
                <w:color w:val="000000"/>
                <w:sz w:val="56"/>
                <w:szCs w:val="56"/>
              </w:rPr>
              <w:t xml:space="preserve">ОТВЕТСТВЕННОСТЬЮ </w:t>
            </w:r>
          </w:p>
          <w:p>
            <w:pPr>
              <w:pStyle w:val="Normal"/>
              <w:jc w:val="center"/>
              <w:rPr/>
            </w:pPr>
            <w:r>
              <w:rPr>
                <w:b/>
                <w:bCs/>
                <w:sz w:val="56"/>
                <w:szCs w:val="56"/>
              </w:rPr>
              <w:t>"</w:t>
            </w:r>
            <w:r>
              <w:rPr>
                <w:b/>
                <w:bCs/>
                <w:color w:val="FF0000"/>
                <w:sz w:val="56"/>
                <w:szCs w:val="56"/>
              </w:rPr>
              <w:t>АгроСтройМашина</w:t>
            </w:r>
            <w:r>
              <w:rPr>
                <w:b/>
                <w:bCs/>
                <w:sz w:val="56"/>
                <w:szCs w:val="56"/>
              </w:rPr>
              <w:t xml:space="preserve">" </w:t>
            </w:r>
          </w:p>
          <w:p>
            <w:pPr>
              <w:pStyle w:val="Normal"/>
              <w:jc w:val="center"/>
              <w:rPr/>
            </w:pPr>
            <w:r>
              <w:rPr>
                <w:sz w:val="56"/>
                <w:szCs w:val="56"/>
              </w:rPr>
              <w:br/>
              <w:br/>
            </w:r>
          </w:p>
        </w:tc>
      </w:tr>
      <w:tr>
        <w:trPr>
          <w:trHeight w:val="567" w:hRule="atLeast"/>
        </w:trPr>
        <w:tc>
          <w:tcPr>
            <w:tcW w:w="10221" w:type="dxa"/>
            <w:tcBorders>
              <w:left w:val="double" w:sz="6" w:space="0" w:color="FFFFFF"/>
              <w:bottom w:val="double" w:sz="6" w:space="0" w:color="FFFFFF"/>
              <w:right w:val="double" w:sz="6" w:space="0" w:color="FFFFFF"/>
            </w:tcBorders>
          </w:tcPr>
          <w:p>
            <w:pPr>
              <w:pStyle w:val="Normal"/>
              <w:jc w:val="center"/>
              <w:rPr>
                <w:b/>
                <w:b/>
                <w:bCs/>
                <w:u w:val="single"/>
              </w:rPr>
            </w:pPr>
            <w:r>
              <w:rPr>
                <w:b/>
                <w:bCs/>
                <w:u w:val="single"/>
              </w:rPr>
            </w:r>
          </w:p>
          <w:p>
            <w:pPr>
              <w:pStyle w:val="Normal"/>
              <w:jc w:val="center"/>
              <w:rPr/>
            </w:pPr>
            <w:r>
              <w:rPr/>
              <w:t xml:space="preserve">  </w:t>
            </w:r>
            <w:r>
              <w:rPr>
                <w:b/>
                <w:bCs/>
                <w:sz w:val="22"/>
                <w:szCs w:val="22"/>
              </w:rPr>
              <w:t>Город Москва</w:t>
            </w:r>
          </w:p>
          <w:p>
            <w:pPr>
              <w:pStyle w:val="Normal"/>
              <w:jc w:val="center"/>
              <w:rPr>
                <w:b/>
                <w:b/>
                <w:bCs/>
              </w:rPr>
            </w:pPr>
            <w:r>
              <w:rPr>
                <w:b/>
                <w:bCs/>
                <w:sz w:val="22"/>
                <w:szCs w:val="22"/>
                <w:lang w:val="en-US"/>
              </w:rPr>
              <w:t>20</w:t>
            </w:r>
            <w:r>
              <w:rPr>
                <w:b/>
                <w:bCs/>
                <w:sz w:val="22"/>
                <w:szCs w:val="22"/>
              </w:rPr>
              <w:t>22 год</w:t>
            </w:r>
          </w:p>
          <w:p>
            <w:pPr>
              <w:pStyle w:val="Normal"/>
              <w:jc w:val="center"/>
              <w:rPr/>
            </w:pPr>
            <w:r>
              <w:rPr/>
            </w:r>
          </w:p>
        </w:tc>
      </w:tr>
    </w:tbl>
    <w:p>
      <w:pPr>
        <w:pStyle w:val="1"/>
        <w:rPr>
          <w:caps/>
        </w:rPr>
      </w:pPr>
      <w:r>
        <w:rPr>
          <w:caps/>
        </w:rPr>
      </w:r>
      <w:r>
        <w:br w:type="page"/>
      </w:r>
    </w:p>
    <w:p>
      <w:pPr>
        <w:pStyle w:val="12"/>
        <w:tabs>
          <w:tab w:val="clear" w:pos="1298"/>
          <w:tab w:val="right" w:pos="10196" w:leader="dot"/>
        </w:tabs>
        <w:rPr/>
      </w:pPr>
      <w:hyperlink w:anchor="_Toc243918561">
        <w:r>
          <w:rPr>
            <w:webHidden/>
          </w:rPr>
          <w:fldChar w:fldCharType="begin"/>
        </w:r>
        <w:r>
          <w:rPr>
            <w:webHidden/>
          </w:rPr>
          <w:instrText>PAGEREF _Toc243918561 \h</w:instrText>
        </w:r>
        <w:r>
          <w:rPr>
            <w:webHidden/>
          </w:rPr>
          <w:fldChar w:fldCharType="separate"/>
        </w:r>
        <w:r>
          <w:rPr>
            <w:vanish/>
          </w:rPr>
          <w:fldChar w:fldCharType="begin"/>
        </w:r>
        <w:r>
          <w:rPr>
            <w:webHidden/>
          </w:rPr>
          <w:fldChar w:fldCharType="end"/>
        </w:r>
        <w:r>
          <w:rPr>
            <w:vanish/>
          </w:rPr>
          <w:instrText> PAGEREF _Toc243918561 \h </w:instrText>
        </w:r>
        <w:r>
          <w:rPr>
            <w:vanish/>
          </w:rPr>
          <w:fldChar w:fldCharType="separate"/>
        </w:r>
        <w:r>
          <w:rPr>
            <w:vanish/>
          </w:rPr>
          <w:t>2</w:t>
        </w:r>
        <w:r>
          <w:rPr>
            <w:vanish/>
          </w:rPr>
          <w:fldChar w:fldCharType="end"/>
        </w:r>
      </w:hyperlink>
    </w:p>
    <w:p>
      <w:pPr>
        <w:pStyle w:val="12"/>
        <w:tabs>
          <w:tab w:val="clear" w:pos="1298"/>
          <w:tab w:val="right" w:pos="10196" w:leader="dot"/>
        </w:tabs>
        <w:rPr/>
      </w:pPr>
      <w:hyperlink w:anchor="_Toc243918562">
        <w:r>
          <w:rPr>
            <w:webHidden/>
          </w:rPr>
          <w:fldChar w:fldCharType="begin"/>
        </w:r>
        <w:r>
          <w:rPr>
            <w:webHidden/>
          </w:rPr>
          <w:instrText>PAGEREF _Toc243918562 \h</w:instrText>
        </w:r>
        <w:r>
          <w:rPr>
            <w:webHidden/>
          </w:rPr>
          <w:fldChar w:fldCharType="separate"/>
        </w:r>
        <w:r>
          <w:rPr>
            <w:vanish/>
          </w:rPr>
          <w:fldChar w:fldCharType="begin"/>
        </w:r>
        <w:r>
          <w:rPr>
            <w:webHidden/>
          </w:rPr>
          <w:fldChar w:fldCharType="end"/>
        </w:r>
        <w:r>
          <w:rPr>
            <w:vanish/>
          </w:rPr>
          <w:instrText> PAGEREF _Toc243918562 \h </w:instrText>
        </w:r>
        <w:r>
          <w:rPr>
            <w:vanish/>
          </w:rPr>
          <w:fldChar w:fldCharType="separate"/>
        </w:r>
        <w:r>
          <w:rPr>
            <w:vanish/>
          </w:rPr>
          <w:t>2</w:t>
        </w:r>
        <w:r>
          <w:rPr>
            <w:vanish/>
          </w:rPr>
          <w:fldChar w:fldCharType="end"/>
        </w:r>
      </w:hyperlink>
    </w:p>
    <w:p>
      <w:pPr>
        <w:pStyle w:val="12"/>
        <w:tabs>
          <w:tab w:val="clear" w:pos="1298"/>
          <w:tab w:val="right" w:pos="10196" w:leader="dot"/>
        </w:tabs>
        <w:rPr/>
      </w:pPr>
      <w:hyperlink w:anchor="_Toc243918563">
        <w:r>
          <w:rPr>
            <w:webHidden/>
          </w:rPr>
          <w:fldChar w:fldCharType="begin"/>
        </w:r>
        <w:r>
          <w:rPr>
            <w:webHidden/>
          </w:rPr>
          <w:instrText>PAGEREF _Toc243918563 \h</w:instrText>
        </w:r>
        <w:r>
          <w:rPr>
            <w:webHidden/>
          </w:rPr>
          <w:fldChar w:fldCharType="separate"/>
        </w:r>
        <w:r>
          <w:rPr>
            <w:vanish/>
          </w:rPr>
          <w:fldChar w:fldCharType="begin"/>
        </w:r>
        <w:r>
          <w:rPr>
            <w:webHidden/>
          </w:rPr>
          <w:fldChar w:fldCharType="end"/>
        </w:r>
        <w:r>
          <w:rPr>
            <w:vanish/>
          </w:rPr>
          <w:instrText> PAGEREF _Toc243918563 \h </w:instrText>
        </w:r>
        <w:r>
          <w:rPr>
            <w:vanish/>
          </w:rPr>
          <w:fldChar w:fldCharType="separate"/>
        </w:r>
        <w:r>
          <w:rPr>
            <w:vanish/>
          </w:rPr>
          <w:t>2</w:t>
        </w:r>
        <w:r>
          <w:rPr>
            <w:vanish/>
          </w:rPr>
          <w:fldChar w:fldCharType="end"/>
        </w:r>
      </w:hyperlink>
    </w:p>
    <w:p>
      <w:pPr>
        <w:pStyle w:val="12"/>
        <w:tabs>
          <w:tab w:val="clear" w:pos="1298"/>
          <w:tab w:val="right" w:pos="10196" w:leader="dot"/>
        </w:tabs>
        <w:rPr/>
      </w:pPr>
      <w:hyperlink w:anchor="_Toc243918564">
        <w:r>
          <w:rPr>
            <w:webHidden/>
          </w:rPr>
          <w:fldChar w:fldCharType="begin"/>
        </w:r>
        <w:r>
          <w:rPr>
            <w:webHidden/>
          </w:rPr>
          <w:instrText>PAGEREF _Toc243918564 \h</w:instrText>
        </w:r>
        <w:r>
          <w:rPr>
            <w:webHidden/>
          </w:rPr>
          <w:fldChar w:fldCharType="separate"/>
        </w:r>
        <w:r>
          <w:rPr>
            <w:vanish/>
          </w:rPr>
          <w:fldChar w:fldCharType="begin"/>
        </w:r>
        <w:r>
          <w:rPr>
            <w:webHidden/>
          </w:rPr>
          <w:fldChar w:fldCharType="end"/>
        </w:r>
        <w:r>
          <w:rPr>
            <w:vanish/>
          </w:rPr>
          <w:instrText> PAGEREF _Toc243918564 \h </w:instrText>
        </w:r>
        <w:r>
          <w:rPr>
            <w:vanish/>
          </w:rPr>
          <w:fldChar w:fldCharType="separate"/>
        </w:r>
        <w:r>
          <w:rPr>
            <w:vanish/>
          </w:rPr>
          <w:t>3</w:t>
        </w:r>
        <w:r>
          <w:rPr>
            <w:vanish/>
          </w:rPr>
          <w:fldChar w:fldCharType="end"/>
        </w:r>
      </w:hyperlink>
    </w:p>
    <w:p>
      <w:pPr>
        <w:pStyle w:val="12"/>
        <w:tabs>
          <w:tab w:val="clear" w:pos="1298"/>
          <w:tab w:val="right" w:pos="10196" w:leader="dot"/>
        </w:tabs>
        <w:rPr/>
      </w:pPr>
      <w:hyperlink w:anchor="_Toc243918565">
        <w:r>
          <w:rPr>
            <w:webHidden/>
          </w:rPr>
          <w:fldChar w:fldCharType="begin"/>
        </w:r>
        <w:r>
          <w:rPr>
            <w:webHidden/>
          </w:rPr>
          <w:instrText>PAGEREF _Toc243918565 \h</w:instrText>
        </w:r>
        <w:r>
          <w:rPr>
            <w:webHidden/>
          </w:rPr>
          <w:fldChar w:fldCharType="separate"/>
        </w:r>
        <w:r>
          <w:rPr>
            <w:vanish/>
          </w:rPr>
          <w:fldChar w:fldCharType="begin"/>
        </w:r>
        <w:r>
          <w:rPr>
            <w:webHidden/>
          </w:rPr>
          <w:fldChar w:fldCharType="end"/>
        </w:r>
        <w:r>
          <w:rPr>
            <w:vanish/>
          </w:rPr>
          <w:instrText> PAGEREF _Toc243918565 \h </w:instrText>
        </w:r>
        <w:r>
          <w:rPr>
            <w:vanish/>
          </w:rPr>
          <w:fldChar w:fldCharType="separate"/>
        </w:r>
        <w:r>
          <w:rPr>
            <w:vanish/>
          </w:rPr>
          <w:t>3</w:t>
        </w:r>
        <w:r>
          <w:rPr>
            <w:vanish/>
          </w:rPr>
          <w:fldChar w:fldCharType="end"/>
        </w:r>
      </w:hyperlink>
    </w:p>
    <w:p>
      <w:pPr>
        <w:pStyle w:val="12"/>
        <w:tabs>
          <w:tab w:val="clear" w:pos="1298"/>
          <w:tab w:val="right" w:pos="10196" w:leader="dot"/>
        </w:tabs>
        <w:rPr/>
      </w:pPr>
      <w:hyperlink w:anchor="_Toc243918566">
        <w:r>
          <w:rPr>
            <w:webHidden/>
          </w:rPr>
          <w:fldChar w:fldCharType="begin"/>
        </w:r>
        <w:r>
          <w:rPr>
            <w:webHidden/>
          </w:rPr>
          <w:instrText>PAGEREF _Toc243918566 \h</w:instrText>
        </w:r>
        <w:r>
          <w:rPr>
            <w:webHidden/>
          </w:rPr>
          <w:fldChar w:fldCharType="separate"/>
        </w:r>
        <w:r>
          <w:rPr>
            <w:vanish/>
          </w:rPr>
          <w:fldChar w:fldCharType="begin"/>
        </w:r>
        <w:r>
          <w:rPr>
            <w:webHidden/>
          </w:rPr>
          <w:fldChar w:fldCharType="end"/>
        </w:r>
        <w:r>
          <w:rPr>
            <w:vanish/>
          </w:rPr>
          <w:instrText> PAGEREF _Toc243918566 \h </w:instrText>
        </w:r>
        <w:r>
          <w:rPr>
            <w:vanish/>
          </w:rPr>
          <w:fldChar w:fldCharType="separate"/>
        </w:r>
        <w:r>
          <w:rPr>
            <w:vanish/>
          </w:rPr>
          <w:t>4</w:t>
        </w:r>
        <w:r>
          <w:rPr>
            <w:vanish/>
          </w:rPr>
          <w:fldChar w:fldCharType="end"/>
        </w:r>
      </w:hyperlink>
    </w:p>
    <w:p>
      <w:pPr>
        <w:pStyle w:val="12"/>
        <w:tabs>
          <w:tab w:val="clear" w:pos="1298"/>
          <w:tab w:val="right" w:pos="10196" w:leader="dot"/>
        </w:tabs>
        <w:rPr/>
      </w:pPr>
      <w:hyperlink w:anchor="_Toc243918567">
        <w:r>
          <w:rPr>
            <w:webHidden/>
          </w:rPr>
          <w:fldChar w:fldCharType="begin"/>
        </w:r>
        <w:r>
          <w:rPr>
            <w:webHidden/>
          </w:rPr>
          <w:instrText>PAGEREF _Toc243918567 \h</w:instrText>
        </w:r>
        <w:r>
          <w:rPr>
            <w:webHidden/>
          </w:rPr>
          <w:fldChar w:fldCharType="separate"/>
        </w:r>
        <w:r>
          <w:rPr>
            <w:vanish/>
          </w:rPr>
          <w:fldChar w:fldCharType="begin"/>
        </w:r>
        <w:r>
          <w:rPr>
            <w:webHidden/>
          </w:rPr>
          <w:fldChar w:fldCharType="end"/>
        </w:r>
        <w:r>
          <w:rPr>
            <w:vanish/>
          </w:rPr>
          <w:instrText> PAGEREF _Toc243918567 \h </w:instrText>
        </w:r>
        <w:r>
          <w:rPr>
            <w:vanish/>
          </w:rPr>
          <w:fldChar w:fldCharType="separate"/>
        </w:r>
        <w:r>
          <w:rPr>
            <w:vanish/>
          </w:rPr>
          <w:t>4</w:t>
        </w:r>
        <w:r>
          <w:rPr>
            <w:vanish/>
          </w:rPr>
          <w:fldChar w:fldCharType="end"/>
        </w:r>
      </w:hyperlink>
    </w:p>
    <w:p>
      <w:pPr>
        <w:pStyle w:val="12"/>
        <w:tabs>
          <w:tab w:val="clear" w:pos="1298"/>
          <w:tab w:val="right" w:pos="10196" w:leader="dot"/>
        </w:tabs>
        <w:rPr/>
      </w:pPr>
      <w:hyperlink w:anchor="_Toc243918568">
        <w:r>
          <w:rPr>
            <w:webHidden/>
          </w:rPr>
          <w:fldChar w:fldCharType="begin"/>
        </w:r>
        <w:r>
          <w:rPr>
            <w:webHidden/>
          </w:rPr>
          <w:instrText>PAGEREF _Toc243918568 \h</w:instrText>
        </w:r>
        <w:r>
          <w:rPr>
            <w:webHidden/>
          </w:rPr>
          <w:fldChar w:fldCharType="separate"/>
        </w:r>
        <w:r>
          <w:rPr>
            <w:vanish/>
          </w:rPr>
          <w:fldChar w:fldCharType="begin"/>
        </w:r>
        <w:r>
          <w:rPr>
            <w:webHidden/>
          </w:rPr>
          <w:fldChar w:fldCharType="end"/>
        </w:r>
        <w:r>
          <w:rPr>
            <w:vanish/>
          </w:rPr>
          <w:instrText> PAGEREF _Toc243918568 \h </w:instrText>
        </w:r>
        <w:r>
          <w:rPr>
            <w:vanish/>
          </w:rPr>
          <w:fldChar w:fldCharType="separate"/>
        </w:r>
        <w:r>
          <w:rPr>
            <w:vanish/>
          </w:rPr>
          <w:t>4</w:t>
        </w:r>
        <w:r>
          <w:rPr>
            <w:vanish/>
          </w:rPr>
          <w:fldChar w:fldCharType="end"/>
        </w:r>
      </w:hyperlink>
    </w:p>
    <w:p>
      <w:pPr>
        <w:pStyle w:val="12"/>
        <w:tabs>
          <w:tab w:val="clear" w:pos="1298"/>
          <w:tab w:val="right" w:pos="10196" w:leader="dot"/>
        </w:tabs>
        <w:rPr/>
      </w:pPr>
      <w:hyperlink w:anchor="_Toc243918569">
        <w:r>
          <w:rPr>
            <w:webHidden/>
          </w:rPr>
          <w:fldChar w:fldCharType="begin"/>
        </w:r>
        <w:r>
          <w:rPr>
            <w:webHidden/>
          </w:rPr>
          <w:instrText>PAGEREF _Toc243918569 \h</w:instrText>
        </w:r>
        <w:r>
          <w:rPr>
            <w:webHidden/>
          </w:rPr>
          <w:fldChar w:fldCharType="separate"/>
        </w:r>
        <w:r>
          <w:rPr>
            <w:vanish/>
          </w:rPr>
          <w:fldChar w:fldCharType="begin"/>
        </w:r>
        <w:r>
          <w:rPr>
            <w:webHidden/>
          </w:rPr>
          <w:fldChar w:fldCharType="end"/>
        </w:r>
        <w:r>
          <w:rPr>
            <w:vanish/>
          </w:rPr>
          <w:instrText> PAGEREF _Toc243918569 \h </w:instrText>
        </w:r>
        <w:r>
          <w:rPr>
            <w:vanish/>
          </w:rPr>
          <w:fldChar w:fldCharType="separate"/>
        </w:r>
        <w:r>
          <w:rPr>
            <w:vanish/>
          </w:rPr>
          <w:t>6</w:t>
        </w:r>
        <w:r>
          <w:rPr>
            <w:vanish/>
          </w:rPr>
          <w:fldChar w:fldCharType="end"/>
        </w:r>
      </w:hyperlink>
    </w:p>
    <w:p>
      <w:pPr>
        <w:pStyle w:val="12"/>
        <w:tabs>
          <w:tab w:val="clear" w:pos="1298"/>
          <w:tab w:val="right" w:pos="10196" w:leader="dot"/>
        </w:tabs>
        <w:rPr/>
      </w:pPr>
      <w:hyperlink w:anchor="_Toc243918570">
        <w:r>
          <w:rPr>
            <w:webHidden/>
          </w:rPr>
          <w:fldChar w:fldCharType="begin"/>
        </w:r>
        <w:r>
          <w:rPr>
            <w:webHidden/>
          </w:rPr>
          <w:instrText>PAGEREF _Toc243918570 \h</w:instrText>
        </w:r>
        <w:r>
          <w:rPr>
            <w:webHidden/>
          </w:rPr>
          <w:fldChar w:fldCharType="separate"/>
        </w:r>
        <w:r>
          <w:rPr>
            <w:vanish/>
          </w:rPr>
          <w:fldChar w:fldCharType="begin"/>
        </w:r>
        <w:r>
          <w:rPr>
            <w:webHidden/>
          </w:rPr>
          <w:fldChar w:fldCharType="end"/>
        </w:r>
        <w:r>
          <w:rPr>
            <w:vanish/>
          </w:rPr>
          <w:instrText> PAGEREF _Toc243918570 \h </w:instrText>
        </w:r>
        <w:r>
          <w:rPr>
            <w:vanish/>
          </w:rPr>
          <w:fldChar w:fldCharType="separate"/>
        </w:r>
        <w:r>
          <w:rPr>
            <w:vanish/>
          </w:rPr>
          <w:t>6</w:t>
        </w:r>
        <w:r>
          <w:rPr>
            <w:vanish/>
          </w:rPr>
          <w:fldChar w:fldCharType="end"/>
        </w:r>
      </w:hyperlink>
    </w:p>
    <w:p>
      <w:pPr>
        <w:pStyle w:val="12"/>
        <w:tabs>
          <w:tab w:val="clear" w:pos="1298"/>
          <w:tab w:val="right" w:pos="10196" w:leader="dot"/>
        </w:tabs>
        <w:rPr/>
      </w:pPr>
      <w:hyperlink w:anchor="_Toc243918571">
        <w:r>
          <w:rPr>
            <w:webHidden/>
          </w:rPr>
          <w:fldChar w:fldCharType="begin"/>
        </w:r>
        <w:r>
          <w:rPr>
            <w:webHidden/>
          </w:rPr>
          <w:instrText>PAGEREF _Toc243918571 \h</w:instrText>
        </w:r>
        <w:r>
          <w:rPr>
            <w:webHidden/>
          </w:rPr>
          <w:fldChar w:fldCharType="separate"/>
        </w:r>
        <w:r>
          <w:rPr>
            <w:vanish/>
          </w:rPr>
          <w:fldChar w:fldCharType="begin"/>
        </w:r>
        <w:r>
          <w:rPr>
            <w:webHidden/>
          </w:rPr>
          <w:fldChar w:fldCharType="end"/>
        </w:r>
        <w:r>
          <w:rPr>
            <w:vanish/>
          </w:rPr>
          <w:instrText> PAGEREF _Toc243918571 \h </w:instrText>
        </w:r>
        <w:r>
          <w:rPr>
            <w:vanish/>
          </w:rPr>
          <w:fldChar w:fldCharType="separate"/>
        </w:r>
        <w:r>
          <w:rPr>
            <w:vanish/>
          </w:rPr>
          <w:t>8</w:t>
        </w:r>
        <w:r>
          <w:rPr>
            <w:vanish/>
          </w:rPr>
          <w:fldChar w:fldCharType="end"/>
        </w:r>
      </w:hyperlink>
    </w:p>
    <w:p>
      <w:pPr>
        <w:pStyle w:val="12"/>
        <w:tabs>
          <w:tab w:val="clear" w:pos="1298"/>
          <w:tab w:val="right" w:pos="10196" w:leader="dot"/>
        </w:tabs>
        <w:rPr/>
      </w:pPr>
      <w:hyperlink w:anchor="_Toc243918572">
        <w:r>
          <w:rPr>
            <w:webHidden/>
          </w:rPr>
          <w:fldChar w:fldCharType="begin"/>
        </w:r>
        <w:r>
          <w:rPr>
            <w:webHidden/>
          </w:rPr>
          <w:instrText>PAGEREF _Toc243918572 \h</w:instrText>
        </w:r>
        <w:r>
          <w:rPr>
            <w:webHidden/>
          </w:rPr>
          <w:fldChar w:fldCharType="separate"/>
        </w:r>
        <w:r>
          <w:rPr>
            <w:vanish/>
          </w:rPr>
          <w:fldChar w:fldCharType="begin"/>
        </w:r>
        <w:r>
          <w:rPr>
            <w:webHidden/>
          </w:rPr>
          <w:fldChar w:fldCharType="end"/>
        </w:r>
        <w:r>
          <w:rPr>
            <w:vanish/>
          </w:rPr>
          <w:instrText> PAGEREF _Toc243918572 \h </w:instrText>
        </w:r>
        <w:r>
          <w:rPr>
            <w:vanish/>
          </w:rPr>
          <w:fldChar w:fldCharType="separate"/>
        </w:r>
        <w:r>
          <w:rPr>
            <w:vanish/>
          </w:rPr>
          <w:t>8</w:t>
        </w:r>
        <w:r>
          <w:rPr>
            <w:vanish/>
          </w:rPr>
          <w:fldChar w:fldCharType="end"/>
        </w:r>
      </w:hyperlink>
    </w:p>
    <w:p>
      <w:pPr>
        <w:pStyle w:val="12"/>
        <w:tabs>
          <w:tab w:val="clear" w:pos="1298"/>
          <w:tab w:val="right" w:pos="10196" w:leader="dot"/>
        </w:tabs>
        <w:rPr/>
      </w:pPr>
      <w:hyperlink w:anchor="_Toc243918573">
        <w:r>
          <w:rPr>
            <w:webHidden/>
          </w:rPr>
          <w:fldChar w:fldCharType="begin"/>
        </w:r>
        <w:r>
          <w:rPr>
            <w:webHidden/>
          </w:rPr>
          <w:instrText>PAGEREF _Toc243918573 \h</w:instrText>
        </w:r>
        <w:r>
          <w:rPr>
            <w:webHidden/>
          </w:rPr>
          <w:fldChar w:fldCharType="separate"/>
        </w:r>
        <w:r>
          <w:rPr>
            <w:vanish/>
          </w:rPr>
          <w:fldChar w:fldCharType="begin"/>
        </w:r>
        <w:r>
          <w:rPr>
            <w:webHidden/>
          </w:rPr>
          <w:fldChar w:fldCharType="end"/>
        </w:r>
        <w:r>
          <w:rPr>
            <w:vanish/>
          </w:rPr>
          <w:instrText> PAGEREF _Toc243918573 \h </w:instrText>
        </w:r>
        <w:r>
          <w:rPr>
            <w:vanish/>
          </w:rPr>
          <w:fldChar w:fldCharType="separate"/>
        </w:r>
        <w:r>
          <w:rPr>
            <w:vanish/>
          </w:rPr>
          <w:t>8</w:t>
        </w:r>
        <w:r>
          <w:rPr>
            <w:vanish/>
          </w:rPr>
          <w:fldChar w:fldCharType="end"/>
        </w:r>
      </w:hyperlink>
    </w:p>
    <w:p>
      <w:pPr>
        <w:pStyle w:val="12"/>
        <w:tabs>
          <w:tab w:val="clear" w:pos="1298"/>
          <w:tab w:val="right" w:pos="10196" w:leader="dot"/>
        </w:tabs>
        <w:rPr/>
      </w:pPr>
      <w:hyperlink w:anchor="_Toc243918574">
        <w:r>
          <w:rPr>
            <w:webHidden/>
          </w:rPr>
          <w:fldChar w:fldCharType="begin"/>
        </w:r>
        <w:r>
          <w:rPr>
            <w:webHidden/>
          </w:rPr>
          <w:instrText>PAGEREF _Toc243918574 \h</w:instrText>
        </w:r>
        <w:r>
          <w:rPr>
            <w:webHidden/>
          </w:rPr>
          <w:fldChar w:fldCharType="separate"/>
        </w:r>
        <w:r>
          <w:rPr>
            <w:vanish/>
          </w:rPr>
          <w:fldChar w:fldCharType="begin"/>
        </w:r>
        <w:r>
          <w:rPr>
            <w:webHidden/>
          </w:rPr>
          <w:fldChar w:fldCharType="end"/>
        </w:r>
        <w:r>
          <w:rPr>
            <w:vanish/>
          </w:rPr>
          <w:instrText> PAGEREF _Toc243918574 \h </w:instrText>
        </w:r>
        <w:r>
          <w:rPr>
            <w:vanish/>
          </w:rPr>
          <w:fldChar w:fldCharType="separate"/>
        </w:r>
        <w:r>
          <w:rPr>
            <w:vanish/>
          </w:rPr>
          <w:t>9</w:t>
        </w:r>
        <w:r>
          <w:rPr>
            <w:vanish/>
          </w:rPr>
          <w:fldChar w:fldCharType="end"/>
        </w:r>
      </w:hyperlink>
    </w:p>
    <w:p>
      <w:pPr>
        <w:pStyle w:val="12"/>
        <w:tabs>
          <w:tab w:val="clear" w:pos="1298"/>
          <w:tab w:val="right" w:pos="10196" w:leader="dot"/>
        </w:tabs>
        <w:rPr/>
      </w:pPr>
      <w:hyperlink w:anchor="_Toc243918575">
        <w:r>
          <w:rPr>
            <w:webHidden/>
          </w:rPr>
          <w:fldChar w:fldCharType="begin"/>
        </w:r>
        <w:r>
          <w:rPr>
            <w:webHidden/>
          </w:rPr>
          <w:instrText>PAGEREF _Toc243918575 \h</w:instrText>
        </w:r>
        <w:r>
          <w:rPr>
            <w:webHidden/>
          </w:rPr>
          <w:fldChar w:fldCharType="separate"/>
        </w:r>
        <w:r>
          <w:rPr>
            <w:vanish/>
          </w:rPr>
          <w:fldChar w:fldCharType="begin"/>
        </w:r>
        <w:r>
          <w:rPr>
            <w:webHidden/>
          </w:rPr>
          <w:fldChar w:fldCharType="end"/>
        </w:r>
        <w:r>
          <w:rPr>
            <w:vanish/>
          </w:rPr>
          <w:instrText> PAGEREF _Toc243918575 \h </w:instrText>
        </w:r>
        <w:r>
          <w:rPr>
            <w:vanish/>
          </w:rPr>
          <w:fldChar w:fldCharType="separate"/>
        </w:r>
        <w:r>
          <w:rPr>
            <w:vanish/>
          </w:rPr>
          <w:t>10</w:t>
        </w:r>
        <w:r>
          <w:rPr>
            <w:vanish/>
          </w:rPr>
          <w:fldChar w:fldCharType="end"/>
        </w:r>
      </w:hyperlink>
    </w:p>
    <w:p>
      <w:pPr>
        <w:pStyle w:val="12"/>
        <w:tabs>
          <w:tab w:val="clear" w:pos="1298"/>
          <w:tab w:val="right" w:pos="10196" w:leader="dot"/>
        </w:tabs>
        <w:rPr/>
      </w:pPr>
      <w:hyperlink w:anchor="_Toc243918576">
        <w:r>
          <w:rPr>
            <w:webHidden/>
          </w:rPr>
          <w:fldChar w:fldCharType="begin"/>
        </w:r>
        <w:r>
          <w:rPr>
            <w:webHidden/>
          </w:rPr>
          <w:instrText>PAGEREF _Toc243918576 \h</w:instrText>
        </w:r>
        <w:r>
          <w:rPr>
            <w:webHidden/>
          </w:rPr>
          <w:fldChar w:fldCharType="separate"/>
        </w:r>
        <w:r>
          <w:rPr>
            <w:vanish/>
          </w:rPr>
          <w:fldChar w:fldCharType="begin"/>
        </w:r>
        <w:r>
          <w:rPr>
            <w:webHidden/>
          </w:rPr>
          <w:fldChar w:fldCharType="end"/>
        </w:r>
        <w:r>
          <w:rPr>
            <w:vanish/>
          </w:rPr>
          <w:instrText> PAGEREF _Toc243918576 \h </w:instrText>
        </w:r>
        <w:r>
          <w:rPr>
            <w:vanish/>
          </w:rPr>
          <w:fldChar w:fldCharType="separate"/>
        </w:r>
        <w:r>
          <w:rPr>
            <w:vanish/>
          </w:rPr>
          <w:t>10</w:t>
        </w:r>
        <w:r>
          <w:rPr>
            <w:vanish/>
          </w:rPr>
          <w:fldChar w:fldCharType="end"/>
        </w:r>
      </w:hyperlink>
    </w:p>
    <w:p>
      <w:pPr>
        <w:pStyle w:val="12"/>
        <w:tabs>
          <w:tab w:val="clear" w:pos="1298"/>
          <w:tab w:val="right" w:pos="10196" w:leader="dot"/>
        </w:tabs>
        <w:rPr/>
      </w:pPr>
      <w:hyperlink w:anchor="_Toc243918577">
        <w:r>
          <w:rPr>
            <w:webHidden/>
          </w:rPr>
          <w:fldChar w:fldCharType="begin"/>
        </w:r>
        <w:r>
          <w:rPr>
            <w:webHidden/>
          </w:rPr>
          <w:instrText>PAGEREF _Toc243918577 \h</w:instrText>
        </w:r>
        <w:r>
          <w:rPr>
            <w:webHidden/>
          </w:rPr>
          <w:fldChar w:fldCharType="separate"/>
        </w:r>
        <w:r>
          <w:rPr>
            <w:vanish/>
          </w:rPr>
          <w:fldChar w:fldCharType="begin"/>
        </w:r>
        <w:r>
          <w:rPr>
            <w:webHidden/>
          </w:rPr>
          <w:fldChar w:fldCharType="end"/>
        </w:r>
        <w:r>
          <w:rPr>
            <w:vanish/>
          </w:rPr>
          <w:instrText> PAGEREF _Toc243918577 \h </w:instrText>
        </w:r>
        <w:r>
          <w:rPr>
            <w:vanish/>
          </w:rPr>
          <w:fldChar w:fldCharType="separate"/>
        </w:r>
        <w:r>
          <w:rPr>
            <w:vanish/>
          </w:rPr>
          <w:t>10</w:t>
        </w:r>
        <w:r>
          <w:rPr>
            <w:vanish/>
          </w:rPr>
          <w:fldChar w:fldCharType="end"/>
        </w:r>
      </w:hyperlink>
    </w:p>
    <w:p>
      <w:pPr>
        <w:pStyle w:val="12"/>
        <w:tabs>
          <w:tab w:val="clear" w:pos="1298"/>
          <w:tab w:val="right" w:pos="10196" w:leader="dot"/>
        </w:tabs>
        <w:rPr/>
      </w:pPr>
      <w:hyperlink w:anchor="_Toc243918578">
        <w:r>
          <w:rPr>
            <w:webHidden/>
          </w:rPr>
          <w:fldChar w:fldCharType="begin"/>
        </w:r>
        <w:r>
          <w:rPr>
            <w:webHidden/>
          </w:rPr>
          <w:instrText>PAGEREF _Toc243918578 \h</w:instrText>
        </w:r>
        <w:r>
          <w:rPr>
            <w:webHidden/>
          </w:rPr>
          <w:fldChar w:fldCharType="separate"/>
        </w:r>
        <w:r>
          <w:rPr>
            <w:vanish/>
          </w:rPr>
          <w:fldChar w:fldCharType="begin"/>
        </w:r>
        <w:r>
          <w:rPr>
            <w:webHidden/>
          </w:rPr>
          <w:fldChar w:fldCharType="end"/>
        </w:r>
        <w:r>
          <w:rPr>
            <w:vanish/>
          </w:rPr>
          <w:instrText> PAGEREF _Toc243918578 \h </w:instrText>
        </w:r>
        <w:r>
          <w:rPr>
            <w:vanish/>
          </w:rPr>
          <w:fldChar w:fldCharType="separate"/>
        </w:r>
        <w:r>
          <w:rPr>
            <w:vanish/>
          </w:rPr>
          <w:t>11</w:t>
        </w:r>
        <w:r>
          <w:rPr>
            <w:vanish/>
          </w:rPr>
          <w:fldChar w:fldCharType="end"/>
        </w:r>
      </w:hyperlink>
    </w:p>
    <w:p>
      <w:pPr>
        <w:pStyle w:val="12"/>
        <w:tabs>
          <w:tab w:val="clear" w:pos="1298"/>
          <w:tab w:val="right" w:pos="10196" w:leader="dot"/>
        </w:tabs>
        <w:rPr/>
      </w:pPr>
      <w:hyperlink w:anchor="_Toc243918579">
        <w:r>
          <w:rPr>
            <w:webHidden/>
          </w:rPr>
          <w:fldChar w:fldCharType="begin"/>
        </w:r>
        <w:r>
          <w:rPr>
            <w:webHidden/>
          </w:rPr>
          <w:instrText>PAGEREF _Toc243918579 \h</w:instrText>
        </w:r>
        <w:r>
          <w:rPr>
            <w:webHidden/>
          </w:rPr>
          <w:fldChar w:fldCharType="separate"/>
        </w:r>
        <w:r>
          <w:rPr>
            <w:vanish/>
          </w:rPr>
          <w:fldChar w:fldCharType="begin"/>
        </w:r>
        <w:r>
          <w:rPr>
            <w:webHidden/>
          </w:rPr>
          <w:fldChar w:fldCharType="end"/>
        </w:r>
        <w:r>
          <w:rPr>
            <w:vanish/>
          </w:rPr>
          <w:instrText> PAGEREF _Toc243918579 \h </w:instrText>
        </w:r>
        <w:r>
          <w:rPr>
            <w:vanish/>
          </w:rPr>
          <w:fldChar w:fldCharType="separate"/>
        </w:r>
        <w:r>
          <w:rPr>
            <w:vanish/>
          </w:rPr>
          <w:t>11</w:t>
        </w:r>
        <w:r>
          <w:rPr>
            <w:vanish/>
          </w:rPr>
          <w:fldChar w:fldCharType="end"/>
        </w:r>
      </w:hyperlink>
    </w:p>
    <w:p>
      <w:pPr>
        <w:pStyle w:val="12"/>
        <w:tabs>
          <w:tab w:val="clear" w:pos="1298"/>
          <w:tab w:val="right" w:pos="10196" w:leader="dot"/>
        </w:tabs>
        <w:rPr/>
      </w:pPr>
      <w:hyperlink w:anchor="_Toc243918580">
        <w:r>
          <w:rPr>
            <w:webHidden/>
          </w:rPr>
          <w:fldChar w:fldCharType="begin"/>
        </w:r>
        <w:r>
          <w:rPr>
            <w:webHidden/>
          </w:rPr>
          <w:instrText>PAGEREF _Toc243918580 \h</w:instrText>
        </w:r>
        <w:r>
          <w:rPr>
            <w:webHidden/>
          </w:rPr>
          <w:fldChar w:fldCharType="separate"/>
        </w:r>
        <w:r>
          <w:rPr>
            <w:vanish/>
          </w:rPr>
          <w:fldChar w:fldCharType="begin"/>
        </w:r>
        <w:r>
          <w:rPr>
            <w:webHidden/>
          </w:rPr>
          <w:fldChar w:fldCharType="end"/>
        </w:r>
        <w:r>
          <w:rPr>
            <w:vanish/>
          </w:rPr>
          <w:instrText> PAGEREF _Toc243918580 \h </w:instrText>
        </w:r>
        <w:r>
          <w:rPr>
            <w:vanish/>
          </w:rPr>
          <w:fldChar w:fldCharType="separate"/>
        </w:r>
        <w:r>
          <w:rPr>
            <w:vanish/>
          </w:rPr>
          <w:t>13</w:t>
        </w:r>
        <w:r>
          <w:rPr>
            <w:vanish/>
          </w:rPr>
          <w:fldChar w:fldCharType="end"/>
        </w:r>
      </w:hyperlink>
    </w:p>
    <w:p>
      <w:pPr>
        <w:pStyle w:val="12"/>
        <w:tabs>
          <w:tab w:val="clear" w:pos="1298"/>
          <w:tab w:val="right" w:pos="10196" w:leader="dot"/>
        </w:tabs>
        <w:rPr/>
      </w:pPr>
      <w:hyperlink w:anchor="_Toc243918581">
        <w:r>
          <w:rPr>
            <w:webHidden/>
          </w:rPr>
          <w:fldChar w:fldCharType="begin"/>
        </w:r>
        <w:r>
          <w:rPr>
            <w:webHidden/>
          </w:rPr>
          <w:instrText>PAGEREF _Toc243918581 \h</w:instrText>
        </w:r>
        <w:r>
          <w:rPr>
            <w:webHidden/>
          </w:rPr>
          <w:fldChar w:fldCharType="separate"/>
        </w:r>
        <w:r>
          <w:rPr>
            <w:vanish/>
          </w:rPr>
          <w:fldChar w:fldCharType="begin"/>
        </w:r>
        <w:r>
          <w:rPr>
            <w:webHidden/>
          </w:rPr>
          <w:fldChar w:fldCharType="end"/>
        </w:r>
        <w:r>
          <w:rPr>
            <w:vanish/>
          </w:rPr>
          <w:instrText> PAGEREF _Toc243918581 \h </w:instrText>
        </w:r>
        <w:r>
          <w:rPr>
            <w:vanish/>
          </w:rPr>
          <w:fldChar w:fldCharType="separate"/>
        </w:r>
        <w:r>
          <w:rPr>
            <w:vanish/>
          </w:rPr>
          <w:t>14</w:t>
        </w:r>
        <w:r>
          <w:rPr>
            <w:vanish/>
          </w:rPr>
          <w:fldChar w:fldCharType="end"/>
        </w:r>
      </w:hyperlink>
    </w:p>
    <w:p>
      <w:pPr>
        <w:pStyle w:val="12"/>
        <w:tabs>
          <w:tab w:val="clear" w:pos="1298"/>
          <w:tab w:val="right" w:pos="10196" w:leader="dot"/>
        </w:tabs>
        <w:rPr/>
      </w:pPr>
      <w:hyperlink w:anchor="_Toc243918582">
        <w:r>
          <w:rPr>
            <w:webHidden/>
          </w:rPr>
          <w:fldChar w:fldCharType="begin"/>
        </w:r>
        <w:r>
          <w:rPr>
            <w:webHidden/>
          </w:rPr>
          <w:instrText>PAGEREF _Toc243918582 \h</w:instrText>
        </w:r>
        <w:r>
          <w:rPr>
            <w:webHidden/>
          </w:rPr>
          <w:fldChar w:fldCharType="separate"/>
        </w:r>
        <w:r>
          <w:rPr>
            <w:vanish/>
          </w:rPr>
          <w:fldChar w:fldCharType="begin"/>
        </w:r>
        <w:r>
          <w:rPr>
            <w:webHidden/>
          </w:rPr>
          <w:fldChar w:fldCharType="end"/>
        </w:r>
        <w:r>
          <w:rPr>
            <w:vanish/>
          </w:rPr>
          <w:instrText> PAGEREF _Toc243918582 \h </w:instrText>
        </w:r>
        <w:r>
          <w:rPr>
            <w:vanish/>
          </w:rPr>
          <w:fldChar w:fldCharType="separate"/>
        </w:r>
        <w:r>
          <w:rPr>
            <w:vanish/>
          </w:rPr>
          <w:t>15</w:t>
        </w:r>
        <w:r>
          <w:rPr>
            <w:vanish/>
          </w:rPr>
          <w:fldChar w:fldCharType="end"/>
        </w:r>
      </w:hyperlink>
    </w:p>
    <w:p>
      <w:pPr>
        <w:pStyle w:val="12"/>
        <w:tabs>
          <w:tab w:val="clear" w:pos="1298"/>
          <w:tab w:val="right" w:pos="10196" w:leader="dot"/>
        </w:tabs>
        <w:rPr/>
      </w:pPr>
      <w:hyperlink w:anchor="_Toc243918583">
        <w:r>
          <w:rPr>
            <w:webHidden/>
          </w:rPr>
          <w:fldChar w:fldCharType="begin"/>
        </w:r>
        <w:r>
          <w:rPr>
            <w:webHidden/>
          </w:rPr>
          <w:instrText>PAGEREF _Toc243918583 \h</w:instrText>
        </w:r>
        <w:r>
          <w:rPr>
            <w:webHidden/>
          </w:rPr>
          <w:fldChar w:fldCharType="separate"/>
        </w:r>
        <w:r>
          <w:rPr>
            <w:vanish/>
          </w:rPr>
          <w:fldChar w:fldCharType="begin"/>
        </w:r>
        <w:r>
          <w:rPr>
            <w:webHidden/>
          </w:rPr>
          <w:fldChar w:fldCharType="end"/>
        </w:r>
        <w:r>
          <w:rPr>
            <w:vanish/>
          </w:rPr>
          <w:instrText> PAGEREF _Toc243918583 \h </w:instrText>
        </w:r>
        <w:r>
          <w:rPr>
            <w:vanish/>
          </w:rPr>
          <w:fldChar w:fldCharType="separate"/>
        </w:r>
        <w:r>
          <w:rPr>
            <w:vanish/>
          </w:rPr>
          <w:t>16</w:t>
        </w:r>
        <w:r>
          <w:rPr>
            <w:vanish/>
          </w:rPr>
          <w:fldChar w:fldCharType="end"/>
        </w:r>
      </w:hyperlink>
    </w:p>
    <w:p>
      <w:pPr>
        <w:pStyle w:val="12"/>
        <w:tabs>
          <w:tab w:val="clear" w:pos="1298"/>
          <w:tab w:val="right" w:pos="10196" w:leader="dot"/>
        </w:tabs>
        <w:rPr/>
      </w:pPr>
      <w:hyperlink w:anchor="_Toc243918584">
        <w:r>
          <w:rPr>
            <w:webHidden/>
          </w:rPr>
          <w:fldChar w:fldCharType="begin"/>
        </w:r>
        <w:r>
          <w:rPr>
            <w:webHidden/>
          </w:rPr>
          <w:instrText>PAGEREF _Toc243918584 \h</w:instrText>
        </w:r>
        <w:r>
          <w:rPr>
            <w:webHidden/>
          </w:rPr>
          <w:fldChar w:fldCharType="separate"/>
        </w:r>
        <w:r>
          <w:rPr>
            <w:vanish/>
          </w:rPr>
          <w:fldChar w:fldCharType="begin"/>
        </w:r>
        <w:r>
          <w:rPr>
            <w:webHidden/>
          </w:rPr>
          <w:fldChar w:fldCharType="end"/>
        </w:r>
        <w:r>
          <w:rPr>
            <w:vanish/>
          </w:rPr>
          <w:instrText> PAGEREF _Toc243918584 \h </w:instrText>
        </w:r>
        <w:r>
          <w:rPr>
            <w:vanish/>
          </w:rPr>
          <w:fldChar w:fldCharType="separate"/>
        </w:r>
        <w:r>
          <w:rPr>
            <w:vanish/>
          </w:rPr>
          <w:t>17</w:t>
        </w:r>
        <w:r>
          <w:rPr>
            <w:vanish/>
          </w:rPr>
          <w:fldChar w:fldCharType="end"/>
        </w:r>
      </w:hyperlink>
    </w:p>
    <w:p>
      <w:pPr>
        <w:pStyle w:val="12"/>
        <w:tabs>
          <w:tab w:val="clear" w:pos="1298"/>
          <w:tab w:val="right" w:pos="10196" w:leader="dot"/>
        </w:tabs>
        <w:rPr/>
      </w:pPr>
      <w:hyperlink w:anchor="_Toc243918585">
        <w:r>
          <w:rPr>
            <w:webHidden/>
          </w:rPr>
          <w:fldChar w:fldCharType="begin"/>
        </w:r>
        <w:r>
          <w:rPr>
            <w:webHidden/>
          </w:rPr>
          <w:instrText>PAGEREF _Toc243918585 \h</w:instrText>
        </w:r>
        <w:r>
          <w:rPr>
            <w:webHidden/>
          </w:rPr>
          <w:fldChar w:fldCharType="separate"/>
        </w:r>
        <w:r>
          <w:rPr>
            <w:vanish/>
          </w:rPr>
          <w:fldChar w:fldCharType="begin"/>
        </w:r>
        <w:r>
          <w:rPr>
            <w:webHidden/>
          </w:rPr>
          <w:fldChar w:fldCharType="end"/>
        </w:r>
        <w:r>
          <w:rPr>
            <w:vanish/>
          </w:rPr>
          <w:instrText> PAGEREF _Toc243918585 \h </w:instrText>
        </w:r>
        <w:r>
          <w:rPr>
            <w:vanish/>
          </w:rPr>
          <w:fldChar w:fldCharType="separate"/>
        </w:r>
        <w:r>
          <w:rPr>
            <w:vanish/>
          </w:rPr>
          <w:t>17</w:t>
        </w:r>
        <w:r>
          <w:rPr>
            <w:vanish/>
          </w:rPr>
          <w:fldChar w:fldCharType="end"/>
        </w:r>
      </w:hyperlink>
    </w:p>
    <w:p>
      <w:pPr>
        <w:pStyle w:val="12"/>
        <w:tabs>
          <w:tab w:val="clear" w:pos="1298"/>
          <w:tab w:val="right" w:pos="10196" w:leader="dot"/>
        </w:tabs>
        <w:rPr/>
      </w:pPr>
      <w:hyperlink w:anchor="_Toc243918586">
        <w:r>
          <w:rPr>
            <w:webHidden/>
          </w:rPr>
          <w:fldChar w:fldCharType="begin"/>
        </w:r>
        <w:r>
          <w:rPr>
            <w:webHidden/>
          </w:rPr>
          <w:instrText>PAGEREF _Toc243918586 \h</w:instrText>
        </w:r>
        <w:r>
          <w:rPr>
            <w:webHidden/>
          </w:rPr>
          <w:fldChar w:fldCharType="separate"/>
        </w:r>
        <w:r>
          <w:rPr>
            <w:vanish/>
          </w:rPr>
          <w:fldChar w:fldCharType="begin"/>
        </w:r>
        <w:r>
          <w:rPr>
            <w:webHidden/>
          </w:rPr>
          <w:fldChar w:fldCharType="end"/>
        </w:r>
        <w:r>
          <w:rPr>
            <w:vanish/>
          </w:rPr>
          <w:instrText> PAGEREF _Toc243918586 \h </w:instrText>
        </w:r>
        <w:r>
          <w:rPr>
            <w:vanish/>
          </w:rPr>
          <w:fldChar w:fldCharType="separate"/>
        </w:r>
        <w:r>
          <w:rPr>
            <w:vanish/>
          </w:rPr>
          <w:t>19</w:t>
        </w:r>
        <w:r>
          <w:rPr>
            <w:vanish/>
          </w:rPr>
          <w:fldChar w:fldCharType="end"/>
        </w:r>
      </w:hyperlink>
    </w:p>
    <w:p>
      <w:pPr>
        <w:pStyle w:val="12"/>
        <w:tabs>
          <w:tab w:val="clear" w:pos="1298"/>
          <w:tab w:val="right" w:pos="10196" w:leader="dot"/>
        </w:tabs>
        <w:rPr/>
      </w:pPr>
      <w:hyperlink w:anchor="_Toc243918587">
        <w:r>
          <w:rPr>
            <w:webHidden/>
          </w:rPr>
          <w:fldChar w:fldCharType="begin"/>
        </w:r>
        <w:r>
          <w:rPr>
            <w:webHidden/>
          </w:rPr>
          <w:instrText>PAGEREF _Toc243918587 \h</w:instrText>
        </w:r>
        <w:r>
          <w:rPr>
            <w:webHidden/>
          </w:rPr>
          <w:fldChar w:fldCharType="separate"/>
        </w:r>
        <w:r>
          <w:rPr>
            <w:vanish/>
          </w:rPr>
          <w:fldChar w:fldCharType="begin"/>
        </w:r>
        <w:r>
          <w:rPr>
            <w:webHidden/>
          </w:rPr>
          <w:fldChar w:fldCharType="end"/>
        </w:r>
        <w:r>
          <w:rPr>
            <w:vanish/>
          </w:rPr>
          <w:instrText> PAGEREF _Toc243918587 \h </w:instrText>
        </w:r>
        <w:r>
          <w:rPr>
            <w:vanish/>
          </w:rPr>
          <w:fldChar w:fldCharType="separate"/>
        </w:r>
        <w:r>
          <w:rPr>
            <w:vanish/>
          </w:rPr>
          <w:t>20</w:t>
        </w:r>
        <w:r>
          <w:rPr>
            <w:vanish/>
          </w:rPr>
          <w:fldChar w:fldCharType="end"/>
        </w:r>
      </w:hyperlink>
    </w:p>
    <w:p>
      <w:pPr>
        <w:pStyle w:val="12"/>
        <w:tabs>
          <w:tab w:val="clear" w:pos="1298"/>
          <w:tab w:val="right" w:pos="10196" w:leader="dot"/>
        </w:tabs>
        <w:rPr/>
      </w:pPr>
      <w:hyperlink w:anchor="_Toc243918588">
        <w:r>
          <w:rPr>
            <w:webHidden/>
          </w:rPr>
          <w:fldChar w:fldCharType="begin"/>
        </w:r>
        <w:r>
          <w:rPr>
            <w:webHidden/>
          </w:rPr>
          <w:instrText>PAGEREF _Toc243918588 \h</w:instrText>
        </w:r>
        <w:r>
          <w:rPr>
            <w:webHidden/>
          </w:rPr>
          <w:fldChar w:fldCharType="separate"/>
        </w:r>
        <w:r>
          <w:rPr>
            <w:vanish/>
          </w:rPr>
          <w:fldChar w:fldCharType="begin"/>
        </w:r>
        <w:r>
          <w:rPr>
            <w:webHidden/>
          </w:rPr>
          <w:fldChar w:fldCharType="end"/>
        </w:r>
        <w:r>
          <w:rPr>
            <w:vanish/>
          </w:rPr>
          <w:instrText> PAGEREF _Toc243918588 \h </w:instrText>
        </w:r>
        <w:r>
          <w:rPr>
            <w:vanish/>
          </w:rPr>
          <w:fldChar w:fldCharType="separate"/>
        </w:r>
        <w:r>
          <w:rPr>
            <w:vanish/>
          </w:rPr>
          <w:t>21</w:t>
        </w:r>
        <w:r>
          <w:rPr>
            <w:vanish/>
          </w:rPr>
          <w:fldChar w:fldCharType="end"/>
        </w:r>
      </w:hyperlink>
    </w:p>
    <w:p>
      <w:pPr>
        <w:pStyle w:val="12"/>
        <w:tabs>
          <w:tab w:val="clear" w:pos="1298"/>
          <w:tab w:val="right" w:pos="10196" w:leader="dot"/>
        </w:tabs>
        <w:rPr/>
      </w:pPr>
      <w:hyperlink w:anchor="_Toc243918589">
        <w:r>
          <w:rPr>
            <w:webHidden/>
          </w:rPr>
          <w:fldChar w:fldCharType="begin"/>
        </w:r>
        <w:r>
          <w:rPr>
            <w:webHidden/>
          </w:rPr>
          <w:instrText>PAGEREF _Toc243918589 \h</w:instrText>
        </w:r>
        <w:r>
          <w:rPr>
            <w:webHidden/>
          </w:rPr>
          <w:fldChar w:fldCharType="separate"/>
        </w:r>
        <w:r>
          <w:rPr>
            <w:vanish/>
          </w:rPr>
          <w:fldChar w:fldCharType="begin"/>
        </w:r>
        <w:r>
          <w:rPr>
            <w:webHidden/>
          </w:rPr>
          <w:fldChar w:fldCharType="end"/>
        </w:r>
        <w:r>
          <w:rPr>
            <w:vanish/>
          </w:rPr>
          <w:instrText> PAGEREF _Toc243918589 \h </w:instrText>
        </w:r>
        <w:r>
          <w:rPr>
            <w:vanish/>
          </w:rPr>
          <w:fldChar w:fldCharType="separate"/>
        </w:r>
        <w:r>
          <w:rPr>
            <w:vanish/>
          </w:rPr>
          <w:t>22</w:t>
        </w:r>
        <w:r>
          <w:rPr>
            <w:vanish/>
          </w:rPr>
          <w:fldChar w:fldCharType="end"/>
        </w:r>
      </w:hyperlink>
    </w:p>
    <w:p>
      <w:pPr>
        <w:pStyle w:val="1"/>
        <w:rPr>
          <w:rFonts w:ascii="Times New Roman" w:hAnsi="Times New Roman" w:cs="Times New Roman"/>
          <w:caps/>
        </w:rPr>
      </w:pPr>
      <w:r>
        <w:rPr>
          <w:rFonts w:cs="Times New Roman" w:ascii="Times New Roman" w:hAnsi="Times New Roman"/>
          <w:caps/>
        </w:rPr>
      </w:r>
    </w:p>
    <w:p>
      <w:pPr>
        <w:pStyle w:val="1"/>
        <w:numPr>
          <w:ilvl w:val="0"/>
          <w:numId w:val="1"/>
        </w:numPr>
        <w:rPr>
          <w:rFonts w:ascii="Times New Roman" w:hAnsi="Times New Roman" w:cs="Times New Roman"/>
          <w:caps/>
        </w:rPr>
      </w:pPr>
      <w:bookmarkStart w:id="0" w:name="_Toc243918561"/>
      <w:r>
        <w:rPr>
          <w:rFonts w:cs="Times New Roman" w:ascii="Times New Roman" w:hAnsi="Times New Roman"/>
          <w:caps/>
        </w:rPr>
        <w:t>Общие положения</w:t>
      </w:r>
      <w:bookmarkEnd w:id="0"/>
    </w:p>
    <w:p>
      <w:pPr>
        <w:pStyle w:val="Style14"/>
        <w:numPr>
          <w:ilvl w:val="1"/>
          <w:numId w:val="1"/>
        </w:numPr>
        <w:jc w:val="both"/>
        <w:rPr/>
      </w:pPr>
      <w:r>
        <w:rPr/>
        <w:t>Общество с ограниченной ответственностью "</w:t>
      </w:r>
      <w:r>
        <w:rPr>
          <w:color w:val="FF0000"/>
        </w:rPr>
        <w:t>АгроСтройМашина</w:t>
      </w:r>
      <w:r>
        <w:rPr/>
        <w:t xml:space="preserve">",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 </w:t>
      </w:r>
    </w:p>
    <w:p>
      <w:pPr>
        <w:pStyle w:val="Style14"/>
        <w:numPr>
          <w:ilvl w:val="1"/>
          <w:numId w:val="1"/>
        </w:numPr>
        <w:jc w:val="both"/>
        <w:rPr/>
      </w:pPr>
      <w:r>
        <w:rPr/>
        <w:t xml:space="preserve">Полное фирменное наименование Общества на русском языке: </w:t>
        <w:br/>
        <w:t>Общество с ограниченной ответственностью "</w:t>
      </w:r>
      <w:r>
        <w:rPr>
          <w:color w:val="FF0000"/>
        </w:rPr>
        <w:t>АгроСтройМашина</w:t>
      </w:r>
      <w:r>
        <w:rPr/>
        <w:t>".</w:t>
      </w:r>
    </w:p>
    <w:p>
      <w:pPr>
        <w:pStyle w:val="Style14"/>
        <w:numPr>
          <w:ilvl w:val="1"/>
          <w:numId w:val="1"/>
        </w:numPr>
        <w:jc w:val="both"/>
        <w:rPr/>
      </w:pPr>
      <w:r>
        <w:rPr/>
        <w:t xml:space="preserve">Сокращенное фирменное наименование Общества на русском языке: </w:t>
        <w:br/>
        <w:t>ООО "</w:t>
      </w:r>
      <w:r>
        <w:rPr>
          <w:color w:val="FF0000"/>
        </w:rPr>
        <w:t>АгроСтройМашина</w:t>
      </w:r>
      <w:r>
        <w:rPr/>
        <w:t>".</w:t>
      </w:r>
    </w:p>
    <w:p>
      <w:pPr>
        <w:pStyle w:val="Style14"/>
        <w:numPr>
          <w:ilvl w:val="1"/>
          <w:numId w:val="1"/>
        </w:numPr>
        <w:jc w:val="both"/>
        <w:rPr/>
      </w:pPr>
      <w:r>
        <w:rPr/>
        <w:t>Место нахождения Общества: Город Москва.</w:t>
        <w:br/>
        <w:t>Место нахождения Общества определяется местом его государственной регистрации на территории Российской Федерации.</w:t>
      </w:r>
    </w:p>
    <w:p>
      <w:pPr>
        <w:pStyle w:val="1"/>
        <w:numPr>
          <w:ilvl w:val="0"/>
          <w:numId w:val="1"/>
        </w:numPr>
        <w:rPr>
          <w:rFonts w:ascii="Times New Roman" w:hAnsi="Times New Roman" w:cs="Times New Roman"/>
          <w:caps/>
        </w:rPr>
      </w:pPr>
      <w:bookmarkStart w:id="1" w:name="_Toc243918562"/>
      <w:r>
        <w:rPr>
          <w:rFonts w:cs="Times New Roman" w:ascii="Times New Roman" w:hAnsi="Times New Roman"/>
          <w:caps/>
        </w:rPr>
        <w:t>Юридический статус общества</w:t>
      </w:r>
      <w:bookmarkEnd w:id="1"/>
    </w:p>
    <w:p>
      <w:pPr>
        <w:pStyle w:val="Style14"/>
        <w:numPr>
          <w:ilvl w:val="1"/>
          <w:numId w:val="1"/>
        </w:numPr>
        <w:jc w:val="both"/>
        <w:rPr/>
      </w:pPr>
      <w:r>
        <w:rPr/>
        <w:t>Общество создано на неограниченный срок деятельности.</w:t>
      </w:r>
    </w:p>
    <w:p>
      <w:pPr>
        <w:pStyle w:val="Style14"/>
        <w:numPr>
          <w:ilvl w:val="1"/>
          <w:numId w:val="1"/>
        </w:numPr>
        <w:jc w:val="both"/>
        <w:rPr/>
      </w:pPr>
      <w:r>
        <w:rPr/>
        <w:t>Общество считается созданным как юридическое лицо с момента его государственной 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pPr>
        <w:pStyle w:val="Style14"/>
        <w:numPr>
          <w:ilvl w:val="1"/>
          <w:numId w:val="1"/>
        </w:numPr>
        <w:jc w:val="both"/>
        <w:rPr/>
      </w:pPr>
      <w:r>
        <w:rPr/>
        <w:t>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несет обязанности, является истцом и ответчиком в суде. В своей деятельности Общество руководствуется действующим законодательством и настоящим Уставом.</w:t>
      </w:r>
    </w:p>
    <w:p>
      <w:pPr>
        <w:pStyle w:val="Style14"/>
        <w:numPr>
          <w:ilvl w:val="1"/>
          <w:numId w:val="1"/>
        </w:numPr>
        <w:jc w:val="both"/>
        <w:rPr/>
      </w:pPr>
      <w:r>
        <w:rPr/>
        <w:t>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pPr>
        <w:pStyle w:val="Style14"/>
        <w:numPr>
          <w:ilvl w:val="1"/>
          <w:numId w:val="1"/>
        </w:numPr>
        <w:jc w:val="both"/>
        <w:rPr/>
      </w:pPr>
      <w:r>
        <w:rPr/>
        <w:t>Общество вправе в установленном порядке открывать банковские счета на территории Российской Федерации и за ее пределами.</w:t>
      </w:r>
    </w:p>
    <w:p>
      <w:pPr>
        <w:pStyle w:val="Style14"/>
        <w:numPr>
          <w:ilvl w:val="1"/>
          <w:numId w:val="1"/>
        </w:numPr>
        <w:jc w:val="both"/>
        <w:rPr/>
      </w:pPr>
      <w:r>
        <w:rPr/>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pPr>
        <w:pStyle w:val="1"/>
        <w:numPr>
          <w:ilvl w:val="0"/>
          <w:numId w:val="1"/>
        </w:numPr>
        <w:rPr>
          <w:rFonts w:ascii="Times New Roman" w:hAnsi="Times New Roman" w:cs="Times New Roman"/>
          <w:caps/>
        </w:rPr>
      </w:pPr>
      <w:bookmarkStart w:id="2" w:name="_Toc243918563"/>
      <w:r>
        <w:rPr>
          <w:rFonts w:cs="Times New Roman" w:ascii="Times New Roman" w:hAnsi="Times New Roman"/>
          <w:caps/>
        </w:rPr>
        <w:t>Цель и предмет деятельности Общества</w:t>
      </w:r>
      <w:bookmarkEnd w:id="2"/>
    </w:p>
    <w:p>
      <w:pPr>
        <w:pStyle w:val="Style14"/>
        <w:numPr>
          <w:ilvl w:val="1"/>
          <w:numId w:val="1"/>
        </w:numPr>
        <w:jc w:val="both"/>
        <w:rPr/>
      </w:pPr>
      <w:r>
        <w:rPr/>
        <w:t>Общество создается с целью удовлетворения потребностей юридических и физических лиц в работах, товарах и услугах, не запрещенных законодательством РФ, а так же извлечения прибыли от свой деятельности. В соответствии с ГК РФ ООО "</w:t>
      </w:r>
      <w:r>
        <w:rPr>
          <w:color w:val="FF0000"/>
        </w:rPr>
        <w:t>АгроСтройМашина</w:t>
      </w:r>
      <w:r>
        <w:rPr/>
        <w:t>" является корпорацией, непубличным обществом, коммерческой организацией.</w:t>
      </w:r>
    </w:p>
    <w:p>
      <w:pPr>
        <w:pStyle w:val="Style14"/>
        <w:numPr>
          <w:ilvl w:val="1"/>
          <w:numId w:val="1"/>
        </w:numPr>
        <w:jc w:val="both"/>
        <w:rPr/>
      </w:pPr>
      <w:r>
        <w:rPr/>
        <w:t>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bookmarkStart w:id="3" w:name="_GoBack"/>
      <w:bookmarkEnd w:id="3"/>
    </w:p>
    <w:p>
      <w:pPr>
        <w:pStyle w:val="Style14"/>
        <w:numPr>
          <w:ilvl w:val="1"/>
          <w:numId w:val="1"/>
        </w:numPr>
        <w:jc w:val="both"/>
        <w:rPr/>
      </w:pPr>
      <w:r>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pPr>
        <w:pStyle w:val="1"/>
        <w:numPr>
          <w:ilvl w:val="0"/>
          <w:numId w:val="1"/>
        </w:numPr>
        <w:rPr>
          <w:rFonts w:ascii="Times New Roman" w:hAnsi="Times New Roman" w:cs="Times New Roman"/>
          <w:caps/>
        </w:rPr>
      </w:pPr>
      <w:bookmarkStart w:id="4" w:name="_Toc243918564"/>
      <w:r>
        <w:rPr>
          <w:rFonts w:cs="Times New Roman" w:ascii="Times New Roman" w:hAnsi="Times New Roman"/>
          <w:caps/>
        </w:rPr>
        <w:t>Ответственность Общества</w:t>
      </w:r>
      <w:bookmarkEnd w:id="4"/>
    </w:p>
    <w:p>
      <w:pPr>
        <w:pStyle w:val="Style14"/>
        <w:numPr>
          <w:ilvl w:val="1"/>
          <w:numId w:val="1"/>
        </w:numPr>
        <w:jc w:val="both"/>
        <w:rPr/>
      </w:pPr>
      <w:r>
        <w:rPr/>
        <w:t>Общество несет ответственность по своим обязательствам всем принадлежащим ему имуществом.</w:t>
      </w:r>
    </w:p>
    <w:p>
      <w:pPr>
        <w:pStyle w:val="Style14"/>
        <w:numPr>
          <w:ilvl w:val="1"/>
          <w:numId w:val="1"/>
        </w:numPr>
        <w:jc w:val="both"/>
        <w:rPr/>
      </w:pPr>
      <w:r>
        <w:rPr/>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pPr>
        <w:pStyle w:val="Style14"/>
        <w:numPr>
          <w:ilvl w:val="1"/>
          <w:numId w:val="1"/>
        </w:numPr>
        <w:jc w:val="both"/>
        <w:rPr/>
      </w:pPr>
      <w:r>
        <w:rPr/>
        <w:t>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неоплаченной части доли каждого из Участников.</w:t>
      </w:r>
    </w:p>
    <w:p>
      <w:pPr>
        <w:pStyle w:val="Style14"/>
        <w:numPr>
          <w:ilvl w:val="1"/>
          <w:numId w:val="1"/>
        </w:numPr>
        <w:jc w:val="both"/>
        <w:rPr/>
      </w:pPr>
      <w:r>
        <w:rPr/>
        <w:t>По своим обязательствам Общество отвечает всем принадлежащим ему имуществом. Общество не отвечает по обязательствам его участников. B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pPr>
        <w:pStyle w:val="Style14"/>
        <w:numPr>
          <w:ilvl w:val="1"/>
          <w:numId w:val="1"/>
        </w:numPr>
        <w:jc w:val="both"/>
        <w:rPr/>
      </w:pPr>
      <w:r>
        <w:rPr/>
        <w:t>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pPr>
        <w:pStyle w:val="1"/>
        <w:numPr>
          <w:ilvl w:val="0"/>
          <w:numId w:val="1"/>
        </w:numPr>
        <w:rPr>
          <w:rFonts w:ascii="Times New Roman" w:hAnsi="Times New Roman" w:cs="Times New Roman"/>
          <w:caps/>
        </w:rPr>
      </w:pPr>
      <w:bookmarkStart w:id="5" w:name="_Toc243918565"/>
      <w:r>
        <w:rPr>
          <w:rFonts w:cs="Times New Roman" w:ascii="Times New Roman" w:hAnsi="Times New Roman"/>
          <w:caps/>
        </w:rPr>
        <w:t>Филиалы, представительства</w:t>
      </w:r>
      <w:bookmarkEnd w:id="5"/>
    </w:p>
    <w:p>
      <w:pPr>
        <w:pStyle w:val="Style14"/>
        <w:numPr>
          <w:ilvl w:val="1"/>
          <w:numId w:val="1"/>
        </w:numPr>
        <w:jc w:val="both"/>
        <w:rPr/>
      </w:pPr>
      <w:r>
        <w:rPr/>
        <w:t>Общество может создавать филиалы и открывать представительства на территории РФ с соблюдением требований Федеральных законов.</w:t>
        <w:br/>
        <w:t>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pPr>
        <w:pStyle w:val="Style14"/>
        <w:numPr>
          <w:ilvl w:val="1"/>
          <w:numId w:val="1"/>
        </w:numPr>
        <w:jc w:val="both"/>
        <w:rPr/>
      </w:pPr>
      <w:r>
        <w:rPr/>
        <w:t>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br/>
        <w:t>Руководитель филиала и руководитель представительства назначаются Обществом и действуют на основании доверенности, выданной Обществом.</w:t>
      </w:r>
    </w:p>
    <w:p>
      <w:pPr>
        <w:pStyle w:val="Style14"/>
        <w:numPr>
          <w:ilvl w:val="1"/>
          <w:numId w:val="1"/>
        </w:numPr>
        <w:jc w:val="both"/>
        <w:rPr/>
      </w:pPr>
      <w:r>
        <w:rPr/>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pPr>
        <w:pStyle w:val="Style14"/>
        <w:numPr>
          <w:ilvl w:val="1"/>
          <w:numId w:val="1"/>
        </w:numPr>
        <w:jc w:val="both"/>
        <w:rPr/>
      </w:pPr>
      <w:r>
        <w:rPr/>
        <w:t>Сведения о филиалах и представительствах Общества должны быть отражены в настоящем Уставе.</w:t>
      </w:r>
    </w:p>
    <w:p>
      <w:pPr>
        <w:pStyle w:val="1"/>
        <w:numPr>
          <w:ilvl w:val="0"/>
          <w:numId w:val="1"/>
        </w:numPr>
        <w:rPr>
          <w:rFonts w:ascii="Times New Roman" w:hAnsi="Times New Roman" w:cs="Times New Roman"/>
          <w:caps/>
        </w:rPr>
      </w:pPr>
      <w:bookmarkStart w:id="6" w:name="_Toc243918566"/>
      <w:r>
        <w:rPr>
          <w:rFonts w:cs="Times New Roman" w:ascii="Times New Roman" w:hAnsi="Times New Roman"/>
          <w:caps/>
        </w:rPr>
        <w:t>Дочерние и зависимые  общества</w:t>
      </w:r>
      <w:bookmarkEnd w:id="6"/>
    </w:p>
    <w:p>
      <w:pPr>
        <w:pStyle w:val="Style14"/>
        <w:numPr>
          <w:ilvl w:val="1"/>
          <w:numId w:val="1"/>
        </w:numPr>
        <w:jc w:val="both"/>
        <w:rPr/>
      </w:pPr>
      <w:r>
        <w:rP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pPr>
        <w:pStyle w:val="Style14"/>
        <w:numPr>
          <w:ilvl w:val="1"/>
          <w:numId w:val="1"/>
        </w:numPr>
        <w:jc w:val="both"/>
        <w:rPr/>
      </w:pPr>
      <w:r>
        <w:rPr/>
        <w:t>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pPr>
        <w:pStyle w:val="Style14"/>
        <w:numPr>
          <w:ilvl w:val="1"/>
          <w:numId w:val="1"/>
        </w:numPr>
        <w:jc w:val="both"/>
        <w:rPr/>
      </w:pPr>
      <w:r>
        <w:rPr/>
        <w:t>Дочернее общество не отвечает по долгам Общества.</w:t>
      </w:r>
    </w:p>
    <w:p>
      <w:pPr>
        <w:pStyle w:val="Style14"/>
        <w:numPr>
          <w:ilvl w:val="1"/>
          <w:numId w:val="1"/>
        </w:numPr>
        <w:jc w:val="both"/>
        <w:rPr/>
      </w:pPr>
      <w:r>
        <w:rPr/>
        <w:t>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pPr>
        <w:pStyle w:val="Style14"/>
        <w:numPr>
          <w:ilvl w:val="1"/>
          <w:numId w:val="1"/>
        </w:numPr>
        <w:jc w:val="both"/>
        <w:rPr/>
      </w:pPr>
      <w:r>
        <w:rPr/>
        <w:t>B случае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pPr>
        <w:pStyle w:val="Style14"/>
        <w:numPr>
          <w:ilvl w:val="1"/>
          <w:numId w:val="1"/>
        </w:numPr>
        <w:jc w:val="both"/>
        <w:rPr/>
      </w:pPr>
      <w:r>
        <w:rPr/>
        <w:t>Юридическое лицо признается зависимым по отношению к Обществу, если Общество имеет 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pPr>
        <w:pStyle w:val="1"/>
        <w:numPr>
          <w:ilvl w:val="0"/>
          <w:numId w:val="1"/>
        </w:numPr>
        <w:rPr>
          <w:rFonts w:ascii="Times New Roman" w:hAnsi="Times New Roman" w:cs="Times New Roman"/>
          <w:caps/>
        </w:rPr>
      </w:pPr>
      <w:bookmarkStart w:id="7" w:name="_Toc243918567"/>
      <w:r>
        <w:rPr>
          <w:rFonts w:cs="Times New Roman" w:ascii="Times New Roman" w:hAnsi="Times New Roman"/>
          <w:caps/>
        </w:rPr>
        <w:t>Уставный капитал Общества</w:t>
      </w:r>
      <w:bookmarkEnd w:id="7"/>
    </w:p>
    <w:p>
      <w:pPr>
        <w:pStyle w:val="Style14"/>
        <w:numPr>
          <w:ilvl w:val="1"/>
          <w:numId w:val="1"/>
        </w:numPr>
        <w:jc w:val="both"/>
        <w:rPr/>
      </w:pPr>
      <w:r>
        <w:rPr/>
        <w:t xml:space="preserve">Уставный капитал Общества определяет минимальный размер имущества, гарантирующий интересы его кредиторов и составляет </w:t>
      </w:r>
      <w:r>
        <w:rPr>
          <w:color w:val="FF0000"/>
        </w:rPr>
        <w:t>10000 руб. 00 коп</w:t>
      </w:r>
      <w:r>
        <w:rPr/>
        <w:t>. Уставный капитал Общества делится на доли, которые выражаются в процентах и разделены между Участниками Общества.</w:t>
      </w:r>
    </w:p>
    <w:p>
      <w:pPr>
        <w:pStyle w:val="Style14"/>
        <w:numPr>
          <w:ilvl w:val="1"/>
          <w:numId w:val="1"/>
        </w:numPr>
        <w:jc w:val="both"/>
        <w:rPr/>
      </w:pPr>
      <w:r>
        <w:rPr/>
        <w:t>Размер уставного капитала Общества и номинальная стоимость долей участников Общества определяются в рублях.</w:t>
      </w:r>
    </w:p>
    <w:p>
      <w:pPr>
        <w:pStyle w:val="Style14"/>
        <w:numPr>
          <w:ilvl w:val="1"/>
          <w:numId w:val="1"/>
        </w:numPr>
        <w:jc w:val="both"/>
        <w:rPr/>
      </w:pPr>
      <w:r>
        <w:rPr/>
        <w:t>Доля Участника Общества, предоставляет право голоса только в пределах оплаченной части принадлежащей ему доли.</w:t>
      </w:r>
    </w:p>
    <w:p>
      <w:pPr>
        <w:pStyle w:val="Style14"/>
        <w:numPr>
          <w:ilvl w:val="1"/>
          <w:numId w:val="1"/>
        </w:numPr>
        <w:jc w:val="both"/>
        <w:rPr/>
      </w:pPr>
      <w:r>
        <w:rPr/>
        <w:t>Действительная стоимость доли участника Общества соответствует части стоимости чистых активов Общества, пропорциональной размеру его доли.</w:t>
      </w:r>
    </w:p>
    <w:p>
      <w:pPr>
        <w:pStyle w:val="Style14"/>
        <w:numPr>
          <w:ilvl w:val="1"/>
          <w:numId w:val="1"/>
        </w:numPr>
        <w:jc w:val="both"/>
        <w:rPr/>
      </w:pPr>
      <w:r>
        <w:rPr/>
        <w:t>Оплата долей в уставном капитале общества может осуществляться только денежными средствами.</w:t>
      </w:r>
    </w:p>
    <w:p>
      <w:pPr>
        <w:pStyle w:val="1"/>
        <w:numPr>
          <w:ilvl w:val="0"/>
          <w:numId w:val="1"/>
        </w:numPr>
        <w:rPr>
          <w:rFonts w:ascii="Times New Roman" w:hAnsi="Times New Roman" w:cs="Times New Roman"/>
          <w:caps/>
        </w:rPr>
      </w:pPr>
      <w:bookmarkStart w:id="8" w:name="_Toc243918568"/>
      <w:r>
        <w:rPr>
          <w:rFonts w:cs="Times New Roman" w:ascii="Times New Roman" w:hAnsi="Times New Roman"/>
          <w:caps/>
        </w:rPr>
        <w:t>увеличение размера уставного капитала общества</w:t>
      </w:r>
      <w:bookmarkEnd w:id="8"/>
      <w:r>
        <w:rPr>
          <w:rFonts w:cs="Times New Roman" w:ascii="Times New Roman" w:hAnsi="Times New Roman"/>
          <w:caps/>
        </w:rPr>
        <w:t xml:space="preserve"> </w:t>
      </w:r>
    </w:p>
    <w:p>
      <w:pPr>
        <w:pStyle w:val="Style14"/>
        <w:numPr>
          <w:ilvl w:val="1"/>
          <w:numId w:val="1"/>
        </w:numPr>
        <w:jc w:val="both"/>
        <w:rPr/>
      </w:pPr>
      <w:r>
        <w:rPr/>
        <w:t>Увеличение уставного капитала Общества допускается только после его полной оплаты.</w:t>
      </w:r>
    </w:p>
    <w:p>
      <w:pPr>
        <w:pStyle w:val="Style14"/>
        <w:numPr>
          <w:ilvl w:val="1"/>
          <w:numId w:val="1"/>
        </w:numPr>
        <w:jc w:val="both"/>
        <w:rPr/>
      </w:pPr>
      <w:r>
        <w:rPr/>
        <w:t>Увеличение уставного капитала Общества может осуществляться за счет имущества Общества и за счет дополнительных вкладов участников.</w:t>
      </w:r>
    </w:p>
    <w:p>
      <w:pPr>
        <w:pStyle w:val="Style14"/>
        <w:numPr>
          <w:ilvl w:val="1"/>
          <w:numId w:val="1"/>
        </w:numPr>
        <w:jc w:val="both"/>
        <w:rPr/>
      </w:pPr>
      <w:r>
        <w:rPr/>
        <w:t>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pPr>
        <w:pStyle w:val="Style14"/>
        <w:numPr>
          <w:ilvl w:val="1"/>
          <w:numId w:val="1"/>
        </w:numPr>
        <w:jc w:val="both"/>
        <w:rPr/>
      </w:pPr>
      <w:r>
        <w:rPr/>
        <w:t>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w:t>
      </w:r>
    </w:p>
    <w:p>
      <w:pPr>
        <w:pStyle w:val="Style14"/>
        <w:numPr>
          <w:ilvl w:val="1"/>
          <w:numId w:val="1"/>
        </w:numPr>
        <w:jc w:val="both"/>
        <w:rPr/>
      </w:pPr>
      <w:r>
        <w:rPr/>
        <w:t>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заявлении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pPr>
        <w:pStyle w:val="Style14"/>
        <w:numPr>
          <w:ilvl w:val="1"/>
          <w:numId w:val="1"/>
        </w:numPr>
        <w:jc w:val="both"/>
        <w:rPr/>
      </w:pPr>
      <w:r>
        <w:rP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pPr>
        <w:pStyle w:val="Style14"/>
        <w:numPr>
          <w:ilvl w:val="1"/>
          <w:numId w:val="1"/>
        </w:numPr>
        <w:jc w:val="both"/>
        <w:rPr/>
      </w:pPr>
      <w:r>
        <w:rPr/>
        <w:t>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pPr>
        <w:pStyle w:val="Style14"/>
        <w:numPr>
          <w:ilvl w:val="1"/>
          <w:numId w:val="1"/>
        </w:numPr>
        <w:jc w:val="both"/>
        <w:rPr/>
      </w:pPr>
      <w:r>
        <w:rP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
    <w:p>
      <w:pPr>
        <w:pStyle w:val="Style14"/>
        <w:numPr>
          <w:ilvl w:val="1"/>
          <w:numId w:val="1"/>
        </w:numPr>
        <w:jc w:val="both"/>
        <w:rPr/>
      </w:pPr>
      <w:r>
        <w:rPr/>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pPr>
        <w:pStyle w:val="Style14"/>
        <w:numPr>
          <w:ilvl w:val="1"/>
          <w:numId w:val="1"/>
        </w:numPr>
        <w:jc w:val="both"/>
        <w:rPr/>
      </w:pPr>
      <w:r>
        <w:rPr/>
        <w:t>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pPr>
        <w:pStyle w:val="1"/>
        <w:numPr>
          <w:ilvl w:val="0"/>
          <w:numId w:val="1"/>
        </w:numPr>
        <w:rPr>
          <w:rFonts w:ascii="Times New Roman" w:hAnsi="Times New Roman" w:cs="Times New Roman"/>
          <w:caps/>
        </w:rPr>
      </w:pPr>
      <w:bookmarkStart w:id="9" w:name="_Toc243918569"/>
      <w:r>
        <w:rPr>
          <w:rFonts w:cs="Times New Roman" w:ascii="Times New Roman" w:hAnsi="Times New Roman"/>
          <w:caps/>
        </w:rPr>
        <w:t>уменьшение размера уставного капитала общества</w:t>
      </w:r>
      <w:bookmarkEnd w:id="9"/>
    </w:p>
    <w:p>
      <w:pPr>
        <w:pStyle w:val="Style14"/>
        <w:numPr>
          <w:ilvl w:val="1"/>
          <w:numId w:val="1"/>
        </w:numPr>
        <w:jc w:val="both"/>
        <w:rPr/>
      </w:pPr>
      <w:r>
        <w:rP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pPr>
        <w:pStyle w:val="Style14"/>
        <w:numPr>
          <w:ilvl w:val="1"/>
          <w:numId w:val="1"/>
        </w:numPr>
        <w:jc w:val="both"/>
        <w:rPr/>
      </w:pPr>
      <w:r>
        <w:rPr/>
        <w:t>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pPr>
        <w:pStyle w:val="Style14"/>
        <w:numPr>
          <w:ilvl w:val="1"/>
          <w:numId w:val="1"/>
        </w:numPr>
        <w:jc w:val="both"/>
        <w:rPr/>
      </w:pPr>
      <w:r>
        <w:rP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br/>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pPr>
        <w:pStyle w:val="Style14"/>
        <w:numPr>
          <w:ilvl w:val="1"/>
          <w:numId w:val="1"/>
        </w:numPr>
        <w:jc w:val="both"/>
        <w:rPr/>
      </w:pPr>
      <w:r>
        <w:rPr/>
        <w:t>В течение тридцати дней с даты принятия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pPr>
        <w:pStyle w:val="Style14"/>
        <w:numPr>
          <w:ilvl w:val="1"/>
          <w:numId w:val="1"/>
        </w:numPr>
        <w:jc w:val="both"/>
        <w:rPr/>
      </w:pPr>
      <w:r>
        <w:rP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
    <w:p>
      <w:pPr>
        <w:pStyle w:val="1"/>
        <w:numPr>
          <w:ilvl w:val="0"/>
          <w:numId w:val="1"/>
        </w:numPr>
        <w:rPr>
          <w:rFonts w:ascii="Times New Roman" w:hAnsi="Times New Roman" w:cs="Times New Roman"/>
          <w:caps/>
        </w:rPr>
      </w:pPr>
      <w:bookmarkStart w:id="10" w:name="_Toc243918570"/>
      <w:r>
        <w:rPr>
          <w:rFonts w:cs="Times New Roman" w:ascii="Times New Roman" w:hAnsi="Times New Roman"/>
          <w:caps/>
        </w:rPr>
        <w:t>Участники Общества, их права и обязанности</w:t>
      </w:r>
      <w:bookmarkEnd w:id="10"/>
    </w:p>
    <w:p>
      <w:pPr>
        <w:pStyle w:val="Style14"/>
        <w:numPr>
          <w:ilvl w:val="1"/>
          <w:numId w:val="1"/>
        </w:numPr>
        <w:jc w:val="both"/>
        <w:rPr/>
      </w:pPr>
      <w:r>
        <w:rPr/>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pPr>
        <w:pStyle w:val="Style14"/>
        <w:numPr>
          <w:ilvl w:val="1"/>
          <w:numId w:val="1"/>
        </w:numPr>
        <w:jc w:val="both"/>
        <w:rPr/>
      </w:pPr>
      <w:r>
        <w:rPr/>
        <w:t>Общество не может иметь в качестве единственного участника другое хозяйственное общество, состоящее из одного лица.</w:t>
      </w:r>
    </w:p>
    <w:p>
      <w:pPr>
        <w:pStyle w:val="Style14"/>
        <w:numPr>
          <w:ilvl w:val="1"/>
          <w:numId w:val="1"/>
        </w:numPr>
        <w:jc w:val="both"/>
        <w:rPr/>
      </w:pPr>
      <w:r>
        <w:rPr/>
        <w:t>Число участников Общества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pPr>
        <w:pStyle w:val="Style14"/>
        <w:numPr>
          <w:ilvl w:val="1"/>
          <w:numId w:val="1"/>
        </w:numPr>
        <w:jc w:val="both"/>
        <w:rPr/>
      </w:pPr>
      <w:r>
        <w:rPr/>
        <w:t>Участники Общества имеют право:</w:t>
      </w:r>
    </w:p>
    <w:p>
      <w:pPr>
        <w:pStyle w:val="Style15"/>
        <w:numPr>
          <w:ilvl w:val="2"/>
          <w:numId w:val="1"/>
        </w:numPr>
        <w:tabs>
          <w:tab w:val="clear" w:pos="720"/>
        </w:tabs>
        <w:jc w:val="both"/>
        <w:rPr/>
      </w:pPr>
      <w:r>
        <w:rPr/>
        <w:t>участвовать в управлении делами Общества;</w:t>
      </w:r>
    </w:p>
    <w:p>
      <w:pPr>
        <w:pStyle w:val="Style15"/>
        <w:numPr>
          <w:ilvl w:val="2"/>
          <w:numId w:val="1"/>
        </w:numPr>
        <w:tabs>
          <w:tab w:val="clear" w:pos="720"/>
        </w:tabs>
        <w:jc w:val="both"/>
        <w:rPr/>
      </w:pPr>
      <w:r>
        <w:rPr/>
        <w:t>получать информацию о деятельности Общества и знакомиться с его бухгалтерскими книгами и иной документацией в установленном порядке;</w:t>
      </w:r>
    </w:p>
    <w:p>
      <w:pPr>
        <w:pStyle w:val="Style15"/>
        <w:numPr>
          <w:ilvl w:val="2"/>
          <w:numId w:val="1"/>
        </w:numPr>
        <w:jc w:val="both"/>
        <w:rPr/>
      </w:pPr>
      <w:r>
        <w:rPr/>
        <w:t>на обжалование решений органов Общества (но только решений, влекущих гражданско-правовые последствия);</w:t>
      </w:r>
    </w:p>
    <w:p>
      <w:pPr>
        <w:pStyle w:val="Style15"/>
        <w:numPr>
          <w:ilvl w:val="2"/>
          <w:numId w:val="1"/>
        </w:numPr>
        <w:jc w:val="both"/>
        <w:rPr/>
      </w:pPr>
      <w:r>
        <w:rPr/>
        <w:t>на оспаривание сделок, заключенных Обществом;</w:t>
      </w:r>
    </w:p>
    <w:p>
      <w:pPr>
        <w:pStyle w:val="Style15"/>
        <w:numPr>
          <w:ilvl w:val="2"/>
          <w:numId w:val="1"/>
        </w:numPr>
        <w:jc w:val="both"/>
        <w:rPr/>
      </w:pPr>
      <w:r>
        <w:rPr/>
        <w:t>на возмещение убытков, которые были причинены Обществу;</w:t>
      </w:r>
    </w:p>
    <w:p>
      <w:pPr>
        <w:pStyle w:val="Style15"/>
        <w:numPr>
          <w:ilvl w:val="2"/>
          <w:numId w:val="1"/>
        </w:numPr>
        <w:jc w:val="both"/>
        <w:rPr/>
      </w:pPr>
      <w:r>
        <w:rPr/>
        <w:t>право принимать участие в распределении прибыли и претендовать на имущество, оставшееся после расчетов с кредиторами при ликвидации Общества;</w:t>
      </w:r>
    </w:p>
    <w:p>
      <w:pPr>
        <w:pStyle w:val="Style15"/>
        <w:numPr>
          <w:ilvl w:val="2"/>
          <w:numId w:val="1"/>
        </w:numPr>
        <w:jc w:val="both"/>
        <w:rPr/>
      </w:pPr>
      <w:r>
        <w:rPr/>
        <w:t>избирать и быть избранными в руководящие органы Общества;</w:t>
      </w:r>
    </w:p>
    <w:p>
      <w:pPr>
        <w:pStyle w:val="Style15"/>
        <w:numPr>
          <w:ilvl w:val="2"/>
          <w:numId w:val="1"/>
        </w:numPr>
        <w:jc w:val="both"/>
        <w:rPr/>
      </w:pPr>
      <w:r>
        <w:rPr/>
        <w:t>вносить предложения, ставить вопросы по управлению деятельностью Общества;</w:t>
      </w:r>
    </w:p>
    <w:p>
      <w:pPr>
        <w:pStyle w:val="Style15"/>
        <w:numPr>
          <w:ilvl w:val="2"/>
          <w:numId w:val="1"/>
        </w:numPr>
        <w:jc w:val="both"/>
        <w:rPr/>
      </w:pPr>
      <w:r>
        <w:rPr/>
        <w:t>участвовать в общих собраниях;</w:t>
      </w:r>
    </w:p>
    <w:p>
      <w:pPr>
        <w:pStyle w:val="Style15"/>
        <w:numPr>
          <w:ilvl w:val="2"/>
          <w:numId w:val="1"/>
        </w:numPr>
        <w:jc w:val="both"/>
        <w:rPr/>
      </w:pPr>
      <w:r>
        <w:rPr/>
        <w:t>знакомиться с повесткой дня общего собрания и вносить свои вопросы на рассмотрение;</w:t>
      </w:r>
    </w:p>
    <w:p>
      <w:pPr>
        <w:pStyle w:val="Style15"/>
        <w:numPr>
          <w:ilvl w:val="2"/>
          <w:numId w:val="1"/>
        </w:numPr>
        <w:tabs>
          <w:tab w:val="clear" w:pos="720"/>
        </w:tabs>
        <w:jc w:val="both"/>
        <w:rPr/>
      </w:pPr>
      <w:r>
        <w:rPr/>
        <w:t>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pPr>
        <w:pStyle w:val="Style14"/>
        <w:numPr>
          <w:ilvl w:val="1"/>
          <w:numId w:val="1"/>
        </w:numPr>
        <w:spacing w:before="120" w:after="120"/>
        <w:jc w:val="both"/>
        <w:rPr/>
      </w:pPr>
      <w:r>
        <w:rPr/>
        <w:t>Участники Общества обязаны:</w:t>
      </w:r>
    </w:p>
    <w:p>
      <w:pPr>
        <w:pStyle w:val="Style15"/>
        <w:numPr>
          <w:ilvl w:val="2"/>
          <w:numId w:val="1"/>
        </w:numPr>
        <w:tabs>
          <w:tab w:val="clear" w:pos="720"/>
        </w:tabs>
        <w:jc w:val="both"/>
        <w:rPr/>
      </w:pPr>
      <w:r>
        <w:rPr/>
        <w:t>оплатить долю в Уставном капитале Общества в порядке, размерах и сроках, установленных Уставом Общества и  договором об учреждении Общества;</w:t>
      </w:r>
    </w:p>
    <w:p>
      <w:pPr>
        <w:pStyle w:val="Style15"/>
        <w:numPr>
          <w:ilvl w:val="2"/>
          <w:numId w:val="1"/>
        </w:numPr>
        <w:tabs>
          <w:tab w:val="clear" w:pos="720"/>
        </w:tabs>
        <w:jc w:val="both"/>
        <w:rPr/>
      </w:pPr>
      <w:r>
        <w:rPr/>
        <w:t>выполнять требования Устава и решения собраний участников Общества;</w:t>
      </w:r>
    </w:p>
    <w:p>
      <w:pPr>
        <w:pStyle w:val="Style15"/>
        <w:numPr>
          <w:ilvl w:val="2"/>
          <w:numId w:val="1"/>
        </w:numPr>
        <w:tabs>
          <w:tab w:val="clear" w:pos="720"/>
        </w:tabs>
        <w:jc w:val="both"/>
        <w:rPr/>
      </w:pPr>
      <w:r>
        <w:rPr/>
        <w:t>отвечать по обязательствам Общества в пределах стоимости принадлежащих им долей в Уставном капитале;</w:t>
      </w:r>
    </w:p>
    <w:p>
      <w:pPr>
        <w:pStyle w:val="Style15"/>
        <w:numPr>
          <w:ilvl w:val="2"/>
          <w:numId w:val="1"/>
        </w:numPr>
        <w:tabs>
          <w:tab w:val="clear" w:pos="720"/>
        </w:tabs>
        <w:jc w:val="both"/>
        <w:rPr/>
      </w:pPr>
      <w:r>
        <w:rPr/>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pPr>
        <w:pStyle w:val="Style15"/>
        <w:numPr>
          <w:ilvl w:val="2"/>
          <w:numId w:val="1"/>
        </w:numPr>
        <w:tabs>
          <w:tab w:val="clear" w:pos="720"/>
        </w:tabs>
        <w:jc w:val="both"/>
        <w:rPr/>
      </w:pPr>
      <w:r>
        <w:rPr/>
        <w:t>не совершать действия, заведомо направленные на причинение вреда Обществу;</w:t>
      </w:r>
    </w:p>
    <w:p>
      <w:pPr>
        <w:pStyle w:val="Style15"/>
        <w:numPr>
          <w:ilvl w:val="2"/>
          <w:numId w:val="1"/>
        </w:numPr>
        <w:tabs>
          <w:tab w:val="clear" w:pos="720"/>
        </w:tabs>
        <w:jc w:val="both"/>
        <w:rPr/>
      </w:pPr>
      <w:r>
        <w:rPr/>
        <w:t>не совершать действия, которые затруднят достижение целей Общества или сделают невозможным достижение этих целей;</w:t>
      </w:r>
    </w:p>
    <w:p>
      <w:pPr>
        <w:pStyle w:val="Style15"/>
        <w:numPr>
          <w:ilvl w:val="2"/>
          <w:numId w:val="1"/>
        </w:numPr>
        <w:tabs>
          <w:tab w:val="clear" w:pos="720"/>
        </w:tabs>
        <w:jc w:val="both"/>
        <w:rPr/>
      </w:pPr>
      <w:r>
        <w:rPr/>
        <w:t>соблюдать конфиденциальность и коммерческую тайну.</w:t>
      </w:r>
    </w:p>
    <w:p>
      <w:pPr>
        <w:pStyle w:val="Style14"/>
        <w:numPr>
          <w:ilvl w:val="1"/>
          <w:numId w:val="1"/>
        </w:numPr>
        <w:spacing w:before="120" w:after="120"/>
        <w:jc w:val="both"/>
        <w:rPr/>
      </w:pPr>
      <w:r>
        <w:rPr/>
        <w:t>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pPr>
        <w:pStyle w:val="1"/>
        <w:numPr>
          <w:ilvl w:val="0"/>
          <w:numId w:val="1"/>
        </w:numPr>
        <w:rPr>
          <w:rFonts w:ascii="Times New Roman" w:hAnsi="Times New Roman" w:cs="Times New Roman"/>
          <w:caps/>
        </w:rPr>
      </w:pPr>
      <w:bookmarkStart w:id="11" w:name="_Toc243918571"/>
      <w:r>
        <w:rPr>
          <w:rFonts w:cs="Times New Roman" w:ascii="Times New Roman" w:hAnsi="Times New Roman"/>
          <w:caps/>
        </w:rPr>
        <w:t>ВЫХОД УЧАСТНИКА ИЗ ОБЩЕСТВА</w:t>
      </w:r>
      <w:bookmarkEnd w:id="11"/>
      <w:r>
        <w:rPr>
          <w:rFonts w:cs="Times New Roman" w:ascii="Times New Roman" w:hAnsi="Times New Roman"/>
          <w:caps/>
        </w:rPr>
        <w:t xml:space="preserve"> </w:t>
      </w:r>
    </w:p>
    <w:p>
      <w:pPr>
        <w:pStyle w:val="1"/>
        <w:numPr>
          <w:ilvl w:val="1"/>
          <w:numId w:val="1"/>
        </w:numPr>
        <w:spacing w:before="0" w:after="120"/>
        <w:jc w:val="both"/>
        <w:rPr>
          <w:rFonts w:ascii="Times New Roman" w:hAnsi="Times New Roman" w:cs="Times New Roman"/>
          <w:b w:val="false"/>
          <w:b w:val="false"/>
          <w:bCs w:val="false"/>
          <w:sz w:val="24"/>
          <w:szCs w:val="24"/>
        </w:rPr>
      </w:pPr>
      <w:r>
        <w:rPr/>
        <w:t xml:space="preserve"> </w:t>
      </w:r>
      <w:r>
        <w:rPr>
          <w:rFonts w:cs="Times New Roman" w:ascii="Times New Roman" w:hAnsi="Times New Roman"/>
          <w:b w:val="false"/>
          <w:bCs w:val="false"/>
          <w:sz w:val="24"/>
          <w:szCs w:val="24"/>
        </w:rPr>
        <w:t>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pPr>
        <w:pStyle w:val="1"/>
        <w:numPr>
          <w:ilvl w:val="1"/>
          <w:numId w:val="1"/>
        </w:numPr>
        <w:spacing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pPr>
        <w:pStyle w:val="1"/>
        <w:numPr>
          <w:ilvl w:val="1"/>
          <w:numId w:val="1"/>
        </w:numPr>
        <w:spacing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pPr>
        <w:pStyle w:val="1"/>
        <w:numPr>
          <w:ilvl w:val="0"/>
          <w:numId w:val="1"/>
        </w:numPr>
        <w:rPr>
          <w:rFonts w:ascii="Times New Roman" w:hAnsi="Times New Roman" w:cs="Times New Roman"/>
          <w:bCs w:val="false"/>
          <w:caps/>
          <w:szCs w:val="24"/>
        </w:rPr>
      </w:pPr>
      <w:bookmarkStart w:id="12" w:name="_Toc243918572"/>
      <w:r>
        <w:rPr>
          <w:rFonts w:cs="Times New Roman" w:ascii="Times New Roman" w:hAnsi="Times New Roman"/>
          <w:bCs w:val="false"/>
          <w:caps/>
          <w:szCs w:val="24"/>
        </w:rPr>
        <w:t>Имущество и фонды Общества</w:t>
      </w:r>
      <w:bookmarkEnd w:id="12"/>
    </w:p>
    <w:p>
      <w:pPr>
        <w:pStyle w:val="Style14"/>
        <w:numPr>
          <w:ilvl w:val="1"/>
          <w:numId w:val="1"/>
        </w:numPr>
        <w:jc w:val="both"/>
        <w:rPr/>
      </w:pPr>
      <w:r>
        <w:rPr/>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pPr>
        <w:pStyle w:val="Style14"/>
        <w:numPr>
          <w:ilvl w:val="1"/>
          <w:numId w:val="1"/>
        </w:numPr>
        <w:jc w:val="both"/>
        <w:rPr/>
      </w:pPr>
      <w:r>
        <w:rPr/>
        <w:t>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pPr>
        <w:pStyle w:val="Style14"/>
        <w:numPr>
          <w:ilvl w:val="1"/>
          <w:numId w:val="1"/>
        </w:numPr>
        <w:jc w:val="both"/>
        <w:rPr/>
      </w:pPr>
      <w:r>
        <w:rPr/>
        <w:t>Общество пользуется, владеет и распоряжается принадлежащим ему имуществом в порядке, определенном действующим гражданским законодательством.</w:t>
      </w:r>
    </w:p>
    <w:p>
      <w:pPr>
        <w:pStyle w:val="Style14"/>
        <w:numPr>
          <w:ilvl w:val="1"/>
          <w:numId w:val="1"/>
        </w:numPr>
        <w:jc w:val="both"/>
        <w:rPr/>
      </w:pPr>
      <w:r>
        <w:rPr/>
        <w:t>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pPr>
        <w:pStyle w:val="Style14"/>
        <w:numPr>
          <w:ilvl w:val="1"/>
          <w:numId w:val="1"/>
        </w:numPr>
        <w:jc w:val="both"/>
        <w:rPr/>
      </w:pPr>
      <w:r>
        <w:rPr/>
        <w:t>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pPr>
        <w:pStyle w:val="Style14"/>
        <w:numPr>
          <w:ilvl w:val="1"/>
          <w:numId w:val="1"/>
        </w:numPr>
        <w:jc w:val="both"/>
        <w:rPr/>
      </w:pPr>
      <w:r>
        <w:rP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pPr>
        <w:pStyle w:val="Style14"/>
        <w:numPr>
          <w:ilvl w:val="1"/>
          <w:numId w:val="1"/>
        </w:numPr>
        <w:jc w:val="both"/>
        <w:rPr/>
      </w:pPr>
      <w:r>
        <w:rPr/>
        <w:t>Общество вправе формировать резервный и другие фонды по своему усмотрению.</w:t>
      </w:r>
    </w:p>
    <w:p>
      <w:pPr>
        <w:pStyle w:val="Style14"/>
        <w:numPr>
          <w:ilvl w:val="1"/>
          <w:numId w:val="1"/>
        </w:numPr>
        <w:jc w:val="both"/>
        <w:rPr/>
      </w:pPr>
      <w:r>
        <w:rP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pPr>
        <w:pStyle w:val="1"/>
        <w:numPr>
          <w:ilvl w:val="0"/>
          <w:numId w:val="1"/>
        </w:numPr>
        <w:rPr>
          <w:rFonts w:ascii="Times New Roman" w:hAnsi="Times New Roman" w:cs="Times New Roman"/>
          <w:caps/>
        </w:rPr>
      </w:pPr>
      <w:bookmarkStart w:id="13" w:name="_Toc243918573"/>
      <w:r>
        <w:rPr>
          <w:rFonts w:cs="Times New Roman" w:ascii="Times New Roman" w:hAnsi="Times New Roman"/>
          <w:caps/>
        </w:rPr>
        <w:t>Распределение прибыли</w:t>
      </w:r>
      <w:bookmarkEnd w:id="13"/>
    </w:p>
    <w:p>
      <w:pPr>
        <w:pStyle w:val="Style14"/>
        <w:numPr>
          <w:ilvl w:val="1"/>
          <w:numId w:val="1"/>
        </w:numPr>
        <w:jc w:val="both"/>
        <w:rPr/>
      </w:pPr>
      <w:r>
        <w:rP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pPr>
        <w:pStyle w:val="Style14"/>
        <w:numPr>
          <w:ilvl w:val="1"/>
          <w:numId w:val="1"/>
        </w:numPr>
        <w:jc w:val="both"/>
        <w:rPr/>
      </w:pPr>
      <w:r>
        <w:rPr/>
        <w:t>Часть прибыли Общества, предназначенная для распределения между его участниками, распределяется пропорционально их долям в уставном капитале.</w:t>
      </w:r>
    </w:p>
    <w:p>
      <w:pPr>
        <w:pStyle w:val="Style14"/>
        <w:numPr>
          <w:ilvl w:val="1"/>
          <w:numId w:val="1"/>
        </w:numPr>
        <w:jc w:val="both"/>
        <w:rPr/>
      </w:pPr>
      <w:r>
        <w:rPr/>
        <w:t>Общество не вправе принимать решение о распределении своей прибыли между участниками в следующих случаях:</w:t>
      </w:r>
    </w:p>
    <w:p>
      <w:pPr>
        <w:pStyle w:val="Style15"/>
        <w:numPr>
          <w:ilvl w:val="2"/>
          <w:numId w:val="1"/>
        </w:numPr>
        <w:tabs>
          <w:tab w:val="clear" w:pos="720"/>
        </w:tabs>
        <w:jc w:val="both"/>
        <w:rPr/>
      </w:pPr>
      <w:r>
        <w:rPr/>
        <w:t>до полной оплаты всего уставного капитала Общества;</w:t>
      </w:r>
    </w:p>
    <w:p>
      <w:pPr>
        <w:pStyle w:val="Style15"/>
        <w:numPr>
          <w:ilvl w:val="2"/>
          <w:numId w:val="1"/>
        </w:numPr>
        <w:tabs>
          <w:tab w:val="clear" w:pos="720"/>
        </w:tabs>
        <w:jc w:val="both"/>
        <w:rPr/>
      </w:pPr>
      <w:r>
        <w:rPr/>
        <w:t>до выплаты действительной стоимости доли или части доли участника Общества в случаях, предусмотренных настоящим Уставом;</w:t>
      </w:r>
    </w:p>
    <w:p>
      <w:pPr>
        <w:pStyle w:val="Style15"/>
        <w:numPr>
          <w:ilvl w:val="2"/>
          <w:numId w:val="1"/>
        </w:numPr>
        <w:tabs>
          <w:tab w:val="clear" w:pos="720"/>
        </w:tabs>
        <w:jc w:val="both"/>
        <w:rPr/>
      </w:pPr>
      <w:r>
        <w:rP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w:t>
      </w:r>
    </w:p>
    <w:p>
      <w:pPr>
        <w:pStyle w:val="Style15"/>
        <w:numPr>
          <w:ilvl w:val="2"/>
          <w:numId w:val="1"/>
        </w:numPr>
        <w:tabs>
          <w:tab w:val="clear" w:pos="720"/>
        </w:tabs>
        <w:jc w:val="both"/>
        <w:rPr/>
      </w:pPr>
      <w:r>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pPr>
        <w:pStyle w:val="Style15"/>
        <w:numPr>
          <w:ilvl w:val="2"/>
          <w:numId w:val="1"/>
        </w:numPr>
        <w:tabs>
          <w:tab w:val="clear" w:pos="720"/>
        </w:tabs>
        <w:jc w:val="both"/>
        <w:rPr/>
      </w:pPr>
      <w:r>
        <w:rPr/>
        <w:t>в иных случаях, предусмотренных законом.</w:t>
      </w:r>
    </w:p>
    <w:p>
      <w:pPr>
        <w:pStyle w:val="1"/>
        <w:numPr>
          <w:ilvl w:val="0"/>
          <w:numId w:val="1"/>
        </w:numPr>
        <w:rPr>
          <w:rFonts w:ascii="Times New Roman" w:hAnsi="Times New Roman" w:cs="Times New Roman"/>
          <w:caps/>
        </w:rPr>
      </w:pPr>
      <w:bookmarkStart w:id="14" w:name="_Toc243918574"/>
      <w:r>
        <w:rPr>
          <w:rFonts w:cs="Times New Roman" w:ascii="Times New Roman" w:hAnsi="Times New Roman"/>
          <w:caps/>
        </w:rPr>
        <w:t>Переход доли участника к другому УЧАСТНИКУ</w:t>
      </w:r>
      <w:bookmarkEnd w:id="14"/>
    </w:p>
    <w:p>
      <w:pPr>
        <w:pStyle w:val="Style14"/>
        <w:numPr>
          <w:ilvl w:val="1"/>
          <w:numId w:val="1"/>
        </w:numPr>
        <w:jc w:val="both"/>
        <w:rPr/>
      </w:pPr>
      <w:r>
        <w:rPr/>
        <w:t>Переход доли или части доли в уставном капитале Общества к одному или нескольким участникам Общества осуществляется на основании сделки, в порядке правопреемства или на ином законном основании.</w:t>
      </w:r>
    </w:p>
    <w:p>
      <w:pPr>
        <w:pStyle w:val="Style14"/>
        <w:numPr>
          <w:ilvl w:val="1"/>
          <w:numId w:val="1"/>
        </w:numPr>
        <w:jc w:val="both"/>
        <w:rPr/>
      </w:pPr>
      <w:r>
        <w:rP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pPr>
        <w:pStyle w:val="Style14"/>
        <w:numPr>
          <w:ilvl w:val="1"/>
          <w:numId w:val="1"/>
        </w:numPr>
        <w:jc w:val="both"/>
        <w:rPr/>
      </w:pPr>
      <w:r>
        <w:rPr/>
        <w:t>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 доли всем или некоторым участникам Общества 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p>
    <w:p>
      <w:pPr>
        <w:pStyle w:val="1"/>
        <w:numPr>
          <w:ilvl w:val="0"/>
          <w:numId w:val="1"/>
        </w:numPr>
        <w:rPr>
          <w:rFonts w:ascii="Times New Roman" w:hAnsi="Times New Roman" w:cs="Times New Roman"/>
          <w:caps/>
        </w:rPr>
      </w:pPr>
      <w:bookmarkStart w:id="15" w:name="_Toc243918575"/>
      <w:r>
        <w:rPr>
          <w:rFonts w:cs="Times New Roman" w:ascii="Times New Roman" w:hAnsi="Times New Roman"/>
          <w:caps/>
        </w:rPr>
        <w:t>ПЕРЕХОД ДОЛИ УЧАСТНИКА ТРЕТЬЕМУ ЛИЦУ</w:t>
      </w:r>
      <w:bookmarkEnd w:id="15"/>
    </w:p>
    <w:p>
      <w:pPr>
        <w:pStyle w:val="1"/>
        <w:numPr>
          <w:ilvl w:val="1"/>
          <w:numId w:val="1"/>
        </w:numPr>
        <w:spacing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pPr>
        <w:pStyle w:val="1"/>
        <w:numPr>
          <w:ilvl w:val="1"/>
          <w:numId w:val="1"/>
        </w:numPr>
        <w:spacing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pPr>
        <w:pStyle w:val="1"/>
        <w:numPr>
          <w:ilvl w:val="1"/>
          <w:numId w:val="1"/>
        </w:numPr>
        <w:spacing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Общества.</w:t>
      </w:r>
    </w:p>
    <w:p>
      <w:pPr>
        <w:pStyle w:val="1"/>
        <w:numPr>
          <w:ilvl w:val="0"/>
          <w:numId w:val="1"/>
        </w:numPr>
        <w:rPr>
          <w:rFonts w:ascii="Times New Roman" w:hAnsi="Times New Roman" w:cs="Times New Roman"/>
          <w:bCs w:val="false"/>
          <w:caps/>
          <w:szCs w:val="24"/>
        </w:rPr>
      </w:pPr>
      <w:bookmarkStart w:id="16" w:name="_Toc243918576"/>
      <w:r>
        <w:rPr>
          <w:rFonts w:cs="Times New Roman" w:ascii="Times New Roman" w:hAnsi="Times New Roman"/>
          <w:bCs w:val="false"/>
          <w:caps/>
          <w:szCs w:val="24"/>
        </w:rPr>
        <w:t>наследование доли в уставном капитале общества</w:t>
      </w:r>
      <w:bookmarkEnd w:id="16"/>
    </w:p>
    <w:p>
      <w:pPr>
        <w:pStyle w:val="1"/>
        <w:numPr>
          <w:ilvl w:val="1"/>
          <w:numId w:val="1"/>
        </w:numPr>
        <w:spacing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pPr>
        <w:pStyle w:val="1"/>
        <w:numPr>
          <w:ilvl w:val="0"/>
          <w:numId w:val="1"/>
        </w:numPr>
        <w:rPr>
          <w:rFonts w:ascii="Times New Roman" w:hAnsi="Times New Roman" w:cs="Times New Roman"/>
          <w:bCs w:val="false"/>
          <w:caps/>
          <w:szCs w:val="24"/>
        </w:rPr>
      </w:pPr>
      <w:bookmarkStart w:id="17" w:name="_Toc243918577"/>
      <w:r>
        <w:rPr>
          <w:rFonts w:cs="Times New Roman" w:ascii="Times New Roman" w:hAnsi="Times New Roman"/>
          <w:bCs w:val="false"/>
          <w:caps/>
          <w:szCs w:val="24"/>
        </w:rPr>
        <w:t>ПРИОБРЕТЕНИЕ ОБЩЕСТВОМ ДОЛИ В УСТАВНОМ КАПИТАЛЕ</w:t>
      </w:r>
      <w:bookmarkEnd w:id="17"/>
    </w:p>
    <w:p>
      <w:pPr>
        <w:pStyle w:val="Style14"/>
        <w:numPr>
          <w:ilvl w:val="1"/>
          <w:numId w:val="1"/>
        </w:numPr>
        <w:jc w:val="both"/>
        <w:rPr/>
      </w:pPr>
      <w:r>
        <w:rPr/>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pPr>
        <w:pStyle w:val="Style14"/>
        <w:numPr>
          <w:ilvl w:val="1"/>
          <w:numId w:val="1"/>
        </w:numPr>
        <w:jc w:val="both"/>
        <w:rPr/>
      </w:pPr>
      <w:r>
        <w:rPr/>
        <w:t>Неоплаченная часть доли участника Общества, который не оплатил в срок свой вклад в уставный капитал в полном размере, переходит к Обществу.</w:t>
      </w:r>
    </w:p>
    <w:p>
      <w:pPr>
        <w:pStyle w:val="Style14"/>
        <w:numPr>
          <w:ilvl w:val="1"/>
          <w:numId w:val="1"/>
        </w:numPr>
        <w:jc w:val="both"/>
        <w:rPr/>
      </w:pPr>
      <w:r>
        <w:rPr/>
        <w:t>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законодательством.</w:t>
      </w:r>
      <w:bookmarkStart w:id="18" w:name="p483"/>
      <w:bookmarkEnd w:id="18"/>
    </w:p>
    <w:p>
      <w:pPr>
        <w:pStyle w:val="Style14"/>
        <w:numPr>
          <w:ilvl w:val="1"/>
          <w:numId w:val="1"/>
        </w:numPr>
        <w:jc w:val="both"/>
        <w:rPr/>
      </w:pPr>
      <w:r>
        <w:rP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pPr>
        <w:pStyle w:val="Style14"/>
        <w:numPr>
          <w:ilvl w:val="1"/>
          <w:numId w:val="1"/>
        </w:numPr>
        <w:jc w:val="both"/>
        <w:rPr/>
      </w:pPr>
      <w:r>
        <w:rP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pPr>
        <w:pStyle w:val="Style14"/>
        <w:numPr>
          <w:ilvl w:val="1"/>
          <w:numId w:val="1"/>
        </w:numPr>
        <w:jc w:val="both"/>
        <w:rPr/>
      </w:pPr>
      <w:r>
        <w:rPr/>
        <w:t>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pPr>
        <w:pStyle w:val="Style14"/>
        <w:numPr>
          <w:ilvl w:val="1"/>
          <w:numId w:val="1"/>
        </w:numPr>
        <w:jc w:val="both"/>
        <w:rPr/>
      </w:pPr>
      <w:r>
        <w:rPr/>
        <w:t>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pPr>
        <w:pStyle w:val="Normal"/>
        <w:rPr/>
      </w:pPr>
      <w:r>
        <w:rPr/>
      </w:r>
    </w:p>
    <w:p>
      <w:pPr>
        <w:pStyle w:val="1"/>
        <w:numPr>
          <w:ilvl w:val="0"/>
          <w:numId w:val="1"/>
        </w:numPr>
        <w:rPr>
          <w:rFonts w:ascii="Times New Roman" w:hAnsi="Times New Roman" w:cs="Times New Roman"/>
          <w:caps/>
        </w:rPr>
      </w:pPr>
      <w:bookmarkStart w:id="19" w:name="_Toc243918578"/>
      <w:r>
        <w:rPr>
          <w:rFonts w:cs="Times New Roman" w:ascii="Times New Roman" w:hAnsi="Times New Roman"/>
          <w:caps/>
        </w:rPr>
        <w:t>Обращение взыскания на долю участника Общества</w:t>
      </w:r>
      <w:bookmarkEnd w:id="19"/>
      <w:r>
        <w:rPr>
          <w:rFonts w:cs="Times New Roman" w:ascii="Times New Roman" w:hAnsi="Times New Roman"/>
          <w:caps/>
        </w:rPr>
        <w:t xml:space="preserve"> </w:t>
      </w:r>
    </w:p>
    <w:p>
      <w:pPr>
        <w:pStyle w:val="Style14"/>
        <w:numPr>
          <w:ilvl w:val="1"/>
          <w:numId w:val="1"/>
        </w:numPr>
        <w:jc w:val="both"/>
        <w:rPr/>
      </w:pPr>
      <w:r>
        <w:rPr/>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pPr>
        <w:pStyle w:val="Style14"/>
        <w:numPr>
          <w:ilvl w:val="1"/>
          <w:numId w:val="1"/>
        </w:numPr>
        <w:jc w:val="both"/>
        <w:rPr/>
      </w:pPr>
      <w:r>
        <w:rP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pPr>
        <w:pStyle w:val="Style14"/>
        <w:numPr>
          <w:ilvl w:val="1"/>
          <w:numId w:val="1"/>
        </w:numPr>
        <w:jc w:val="both"/>
        <w:rPr/>
      </w:pPr>
      <w:r>
        <w:rP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pPr>
        <w:pStyle w:val="Style14"/>
        <w:numPr>
          <w:ilvl w:val="1"/>
          <w:numId w:val="1"/>
        </w:numPr>
        <w:jc w:val="both"/>
        <w:rPr/>
      </w:pPr>
      <w:r>
        <w:rPr/>
        <w:t>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pPr>
        <w:pStyle w:val="1"/>
        <w:numPr>
          <w:ilvl w:val="0"/>
          <w:numId w:val="1"/>
        </w:numPr>
        <w:rPr>
          <w:rFonts w:ascii="Times New Roman" w:hAnsi="Times New Roman" w:cs="Times New Roman"/>
          <w:caps/>
        </w:rPr>
      </w:pPr>
      <w:bookmarkStart w:id="20" w:name="_Toc243918579"/>
      <w:r>
        <w:rPr>
          <w:rFonts w:cs="Times New Roman" w:ascii="Times New Roman" w:hAnsi="Times New Roman"/>
          <w:caps/>
        </w:rPr>
        <w:t>общее собрание участников общества</w:t>
      </w:r>
      <w:bookmarkEnd w:id="20"/>
    </w:p>
    <w:p>
      <w:pPr>
        <w:pStyle w:val="Style14"/>
        <w:numPr>
          <w:ilvl w:val="1"/>
          <w:numId w:val="1"/>
        </w:numPr>
        <w:jc w:val="both"/>
        <w:rPr/>
      </w:pPr>
      <w:r>
        <w:rPr/>
        <w:t>Высшим органом Общества является общее собрание участников Общества. Общее 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pPr>
        <w:pStyle w:val="Style14"/>
        <w:numPr>
          <w:ilvl w:val="1"/>
          <w:numId w:val="1"/>
        </w:numPr>
        <w:jc w:val="both"/>
        <w:rPr/>
      </w:pPr>
      <w:r>
        <w:rPr/>
        <w:t>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pPr>
        <w:pStyle w:val="Style14"/>
        <w:numPr>
          <w:ilvl w:val="1"/>
          <w:numId w:val="1"/>
        </w:numPr>
        <w:jc w:val="both"/>
        <w:rPr/>
      </w:pPr>
      <w:r>
        <w:rPr/>
        <w:t>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результаты деятельности Общества.</w:t>
      </w:r>
    </w:p>
    <w:p>
      <w:pPr>
        <w:pStyle w:val="Style14"/>
        <w:numPr>
          <w:ilvl w:val="1"/>
          <w:numId w:val="1"/>
        </w:numPr>
        <w:jc w:val="both"/>
        <w:rPr/>
      </w:pPr>
      <w:r>
        <w:rPr/>
        <w:t>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pPr>
        <w:pStyle w:val="Style14"/>
        <w:numPr>
          <w:ilvl w:val="1"/>
          <w:numId w:val="1"/>
        </w:numPr>
        <w:jc w:val="both"/>
        <w:rPr/>
      </w:pPr>
      <w:r>
        <w:rPr/>
        <w:t>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уведомлении должны быть указаны время и место проведения Общего собрания участников Общества, a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позднее чем за десять дней до его проведения уведомить всех участников Общества o внесенных в повестку дня изменениях заказным письмом.</w:t>
      </w:r>
    </w:p>
    <w:p>
      <w:pPr>
        <w:pStyle w:val="Style14"/>
        <w:numPr>
          <w:ilvl w:val="1"/>
          <w:numId w:val="1"/>
        </w:numPr>
        <w:jc w:val="both"/>
        <w:rPr/>
      </w:pPr>
      <w:r>
        <w:rPr/>
        <w:t>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 B случае нарушения установленного порядка созыва общего собрания участников Общества такое общее собрание признается правомочным, если в нем участвуют все участники Общества.</w:t>
      </w:r>
    </w:p>
    <w:p>
      <w:pPr>
        <w:pStyle w:val="Style14"/>
        <w:numPr>
          <w:ilvl w:val="1"/>
          <w:numId w:val="1"/>
        </w:numPr>
        <w:jc w:val="both"/>
        <w:rPr/>
      </w:pPr>
      <w:r>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Незарегистрировавшийся участник Общества (представитель участника Общества) не вправе принимать участие в голосовании.</w:t>
      </w:r>
    </w:p>
    <w:p>
      <w:pPr>
        <w:pStyle w:val="Style14"/>
        <w:numPr>
          <w:ilvl w:val="1"/>
          <w:numId w:val="1"/>
        </w:numPr>
        <w:jc w:val="both"/>
        <w:rPr/>
      </w:pPr>
      <w:r>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pPr>
        <w:pStyle w:val="Style14"/>
        <w:numPr>
          <w:ilvl w:val="1"/>
          <w:numId w:val="1"/>
        </w:numPr>
        <w:jc w:val="both"/>
        <w:rPr/>
      </w:pPr>
      <w:r>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pPr>
        <w:pStyle w:val="Style14"/>
        <w:numPr>
          <w:ilvl w:val="1"/>
          <w:numId w:val="1"/>
        </w:numPr>
        <w:jc w:val="both"/>
        <w:rPr/>
      </w:pPr>
      <w:r>
        <w:rPr/>
        <w:t>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pPr>
        <w:pStyle w:val="1"/>
        <w:numPr>
          <w:ilvl w:val="0"/>
          <w:numId w:val="1"/>
        </w:numPr>
        <w:rPr>
          <w:rFonts w:ascii="Times New Roman" w:hAnsi="Times New Roman" w:cs="Times New Roman"/>
          <w:caps/>
        </w:rPr>
      </w:pPr>
      <w:bookmarkStart w:id="21" w:name="_Toc243918580"/>
      <w:r>
        <w:rPr>
          <w:rFonts w:cs="Times New Roman" w:ascii="Times New Roman" w:hAnsi="Times New Roman"/>
          <w:caps/>
        </w:rPr>
        <w:t>Исключительная компетенция Общего собрания</w:t>
      </w:r>
      <w:bookmarkEnd w:id="21"/>
    </w:p>
    <w:p>
      <w:pPr>
        <w:pStyle w:val="Style14"/>
        <w:ind w:left="0" w:hanging="0"/>
        <w:jc w:val="both"/>
        <w:rPr/>
      </w:pPr>
      <w:r>
        <w:rPr/>
        <w:t>К исключительной компетенции Общего собрания участников Общества относятся следующие вопросы:</w:t>
      </w:r>
    </w:p>
    <w:p>
      <w:pPr>
        <w:pStyle w:val="Style14"/>
        <w:numPr>
          <w:ilvl w:val="1"/>
          <w:numId w:val="1"/>
        </w:numPr>
        <w:jc w:val="both"/>
        <w:rPr/>
      </w:pPr>
      <w:r>
        <w:rPr/>
        <w:t>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pPr>
        <w:pStyle w:val="Style14"/>
        <w:numPr>
          <w:ilvl w:val="1"/>
          <w:numId w:val="1"/>
        </w:numPr>
        <w:jc w:val="both"/>
        <w:rPr/>
      </w:pPr>
      <w:r>
        <w:rPr/>
        <w:t>образование исполнительных органов Общества и досрочное прекращение их полномочий, a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pPr>
        <w:pStyle w:val="Style14"/>
        <w:numPr>
          <w:ilvl w:val="1"/>
          <w:numId w:val="1"/>
        </w:numPr>
        <w:jc w:val="both"/>
        <w:rPr/>
      </w:pPr>
      <w:r>
        <w:rPr/>
        <w:t>утверждение годовых отчетов и бухгалтерской (финансовой) отчетности Общества;</w:t>
      </w:r>
    </w:p>
    <w:p>
      <w:pPr>
        <w:pStyle w:val="Style14"/>
        <w:numPr>
          <w:ilvl w:val="1"/>
          <w:numId w:val="1"/>
        </w:numPr>
        <w:jc w:val="both"/>
        <w:rPr/>
      </w:pPr>
      <w:r>
        <w:rPr/>
        <w:t>утверждение (принятие) документов, регулирующих внутреннюю деятельность Общества (внутренних документов Общества);</w:t>
      </w:r>
    </w:p>
    <w:p>
      <w:pPr>
        <w:pStyle w:val="Style14"/>
        <w:numPr>
          <w:ilvl w:val="1"/>
          <w:numId w:val="1"/>
        </w:numPr>
        <w:jc w:val="both"/>
        <w:rPr/>
      </w:pPr>
      <w:r>
        <w:rPr/>
        <w:t>принятие решения о размещении Обществом облигаций и иных эмиссионных ценных бумаг;</w:t>
      </w:r>
    </w:p>
    <w:p>
      <w:pPr>
        <w:pStyle w:val="Style14"/>
        <w:numPr>
          <w:ilvl w:val="1"/>
          <w:numId w:val="1"/>
        </w:numPr>
        <w:jc w:val="both"/>
        <w:rPr/>
      </w:pPr>
      <w:r>
        <w:rPr/>
        <w:t>принятие решения о распределении чистой прибыли Общества между участниками Общества;</w:t>
      </w:r>
    </w:p>
    <w:p>
      <w:pPr>
        <w:pStyle w:val="Style14"/>
        <w:numPr>
          <w:ilvl w:val="1"/>
          <w:numId w:val="1"/>
        </w:numPr>
        <w:jc w:val="both"/>
        <w:rPr/>
      </w:pPr>
      <w:r>
        <w:rPr/>
        <w:t>утверждение и изменение устава Общества, в том числе изменение размера уставного капитала Общества;</w:t>
      </w:r>
    </w:p>
    <w:p>
      <w:pPr>
        <w:pStyle w:val="Style14"/>
        <w:numPr>
          <w:ilvl w:val="1"/>
          <w:numId w:val="1"/>
        </w:numPr>
        <w:jc w:val="both"/>
        <w:rPr/>
      </w:pPr>
      <w:r>
        <w:rPr/>
        <w:t>назначение аудиторской проверки, утверждение аудитора и определение размера оплаты его услуг;</w:t>
      </w:r>
    </w:p>
    <w:p>
      <w:pPr>
        <w:pStyle w:val="Style14"/>
        <w:numPr>
          <w:ilvl w:val="1"/>
          <w:numId w:val="1"/>
        </w:numPr>
        <w:jc w:val="both"/>
        <w:rPr/>
      </w:pPr>
      <w:r>
        <w:rPr/>
        <w:t>принятие решений о реорганизации и ликвидации, о назначении ликвидационной комиссии (ликвидатора) и об утверждении ликвидационного баланса;</w:t>
      </w:r>
    </w:p>
    <w:p>
      <w:pPr>
        <w:pStyle w:val="Style14"/>
        <w:numPr>
          <w:ilvl w:val="1"/>
          <w:numId w:val="1"/>
        </w:numPr>
        <w:jc w:val="both"/>
        <w:rPr/>
      </w:pPr>
      <w:r>
        <w:rPr/>
        <w:t>избрание и досрочное прекращение полномочий ревизионной комиссии (ревизора) Общества;</w:t>
      </w:r>
    </w:p>
    <w:p>
      <w:pPr>
        <w:pStyle w:val="Style14"/>
        <w:numPr>
          <w:ilvl w:val="1"/>
          <w:numId w:val="1"/>
        </w:numPr>
        <w:jc w:val="both"/>
        <w:rPr/>
      </w:pPr>
      <w:r>
        <w:rPr/>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pPr>
        <w:pStyle w:val="Style14"/>
        <w:numPr>
          <w:ilvl w:val="1"/>
          <w:numId w:val="1"/>
        </w:numPr>
        <w:jc w:val="both"/>
        <w:rPr/>
      </w:pPr>
      <w:r>
        <w:rPr/>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pPr>
        <w:pStyle w:val="Style14"/>
        <w:numPr>
          <w:ilvl w:val="1"/>
          <w:numId w:val="1"/>
        </w:numPr>
        <w:jc w:val="both"/>
        <w:rPr/>
      </w:pPr>
      <w:r>
        <w:rPr/>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pPr>
        <w:pStyle w:val="Style14"/>
        <w:numPr>
          <w:ilvl w:val="1"/>
          <w:numId w:val="1"/>
        </w:numPr>
        <w:jc w:val="both"/>
        <w:rPr/>
      </w:pPr>
      <w:r>
        <w:rPr/>
        <w:t>решение иных вопросов, предусмотренных законом.</w:t>
      </w:r>
    </w:p>
    <w:p>
      <w:pPr>
        <w:pStyle w:val="Style14"/>
        <w:numPr>
          <w:ilvl w:val="1"/>
          <w:numId w:val="1"/>
        </w:numPr>
        <w:jc w:val="both"/>
        <w:rPr/>
      </w:pPr>
      <w:r>
        <w:rPr/>
        <w:t>Решения по вопросам, указанным в подпунктах 20.1, 20.2, 20.3, 20.4, 20.5, 20.06, 20.07, 20.11, 20.12 настоящего Устава, принимаются большинством не менее двух третей голосов от общего числа голосов Участников Общества.</w:t>
      </w:r>
    </w:p>
    <w:p>
      <w:pPr>
        <w:pStyle w:val="Style14"/>
        <w:numPr>
          <w:ilvl w:val="1"/>
          <w:numId w:val="1"/>
        </w:numPr>
        <w:jc w:val="both"/>
        <w:rPr/>
      </w:pPr>
      <w:r>
        <w:rPr/>
        <w:t>Решения по вопросам, указанным в подпунктах 20.09, 20.10 настоящего Устава, принимаются всеми Участниками Общества единогласно.</w:t>
      </w:r>
    </w:p>
    <w:p>
      <w:pPr>
        <w:pStyle w:val="Style14"/>
        <w:numPr>
          <w:ilvl w:val="1"/>
          <w:numId w:val="1"/>
        </w:numPr>
        <w:jc w:val="both"/>
        <w:rPr/>
      </w:pPr>
      <w:r>
        <w:rPr/>
        <w:t>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pPr>
        <w:pStyle w:val="Style14"/>
        <w:numPr>
          <w:ilvl w:val="1"/>
          <w:numId w:val="1"/>
        </w:numPr>
        <w:jc w:val="both"/>
        <w:rPr/>
      </w:pPr>
      <w:r>
        <w:rPr/>
        <w:t>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p>
    <w:p>
      <w:pPr>
        <w:pStyle w:val="Style14"/>
        <w:numPr>
          <w:ilvl w:val="1"/>
          <w:numId w:val="1"/>
        </w:numPr>
        <w:jc w:val="both"/>
        <w:rPr/>
      </w:pPr>
      <w:r>
        <w:rPr/>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pPr>
        <w:pStyle w:val="1"/>
        <w:numPr>
          <w:ilvl w:val="0"/>
          <w:numId w:val="1"/>
        </w:numPr>
        <w:rPr>
          <w:rFonts w:ascii="Times New Roman" w:hAnsi="Times New Roman" w:cs="Times New Roman"/>
          <w:caps/>
        </w:rPr>
      </w:pPr>
      <w:bookmarkStart w:id="22" w:name="_Toc243918581"/>
      <w:r>
        <w:rPr>
          <w:rFonts w:cs="Times New Roman" w:ascii="Times New Roman" w:hAnsi="Times New Roman"/>
          <w:caps/>
        </w:rPr>
        <w:t>Единоличный исполнительный орган Общества</w:t>
      </w:r>
      <w:bookmarkEnd w:id="22"/>
    </w:p>
    <w:p>
      <w:pPr>
        <w:pStyle w:val="Style14"/>
        <w:numPr>
          <w:ilvl w:val="1"/>
          <w:numId w:val="1"/>
        </w:numPr>
        <w:jc w:val="both"/>
        <w:rPr/>
      </w:pPr>
      <w:r>
        <w:rPr/>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pPr>
        <w:pStyle w:val="Style14"/>
        <w:numPr>
          <w:ilvl w:val="1"/>
          <w:numId w:val="1"/>
        </w:numPr>
        <w:jc w:val="both"/>
        <w:rPr/>
      </w:pPr>
      <w:r>
        <w:rPr/>
        <w:t>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r>
        <w:rPr>
          <w:lang w:val="en-US"/>
        </w:rPr>
        <w:t>.</w:t>
      </w:r>
    </w:p>
    <w:p>
      <w:pPr>
        <w:pStyle w:val="Style14"/>
        <w:numPr>
          <w:ilvl w:val="1"/>
          <w:numId w:val="1"/>
        </w:numPr>
        <w:jc w:val="both"/>
        <w:rPr/>
      </w:pPr>
      <w:r>
        <w:rPr/>
        <w:t>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pPr>
        <w:pStyle w:val="Style14"/>
        <w:numPr>
          <w:ilvl w:val="1"/>
          <w:numId w:val="1"/>
        </w:numPr>
        <w:jc w:val="both"/>
        <w:rPr/>
      </w:pPr>
      <w:r>
        <w:rPr/>
        <w:t>B качестве единоличного исполнительного органа Общества может выступать только физическое лицо.</w:t>
      </w:r>
    </w:p>
    <w:p>
      <w:pPr>
        <w:pStyle w:val="Style14"/>
        <w:numPr>
          <w:ilvl w:val="1"/>
          <w:numId w:val="1"/>
        </w:numPr>
        <w:jc w:val="both"/>
        <w:rPr/>
      </w:pPr>
      <w:r>
        <w:rPr/>
        <w:t>Генеральный директор Общества:</w:t>
      </w:r>
    </w:p>
    <w:p>
      <w:pPr>
        <w:pStyle w:val="Style15"/>
        <w:numPr>
          <w:ilvl w:val="2"/>
          <w:numId w:val="1"/>
        </w:numPr>
        <w:tabs>
          <w:tab w:val="clear" w:pos="720"/>
        </w:tabs>
        <w:jc w:val="both"/>
        <w:rPr/>
      </w:pPr>
      <w:r>
        <w:rPr/>
        <w:t>без доверенности действует от имени Общества, в том числе представляет его интересы и совершает сделки;</w:t>
      </w:r>
    </w:p>
    <w:p>
      <w:pPr>
        <w:pStyle w:val="Style15"/>
        <w:numPr>
          <w:ilvl w:val="2"/>
          <w:numId w:val="1"/>
        </w:numPr>
        <w:tabs>
          <w:tab w:val="clear" w:pos="720"/>
        </w:tabs>
        <w:jc w:val="both"/>
        <w:rPr/>
      </w:pPr>
      <w:r>
        <w:rPr/>
        <w:t>выдает доверенности на право представительства от имени Общества, в том числе доверенности с правом передоверия;</w:t>
      </w:r>
    </w:p>
    <w:p>
      <w:pPr>
        <w:pStyle w:val="Style15"/>
        <w:numPr>
          <w:ilvl w:val="2"/>
          <w:numId w:val="1"/>
        </w:numPr>
        <w:tabs>
          <w:tab w:val="clear" w:pos="720"/>
        </w:tabs>
        <w:jc w:val="both"/>
        <w:rPr/>
      </w:pPr>
      <w:r>
        <w:rPr/>
        <w:t>представляет интересы Общества в судах в качестве истца, ответчика, третьего лица;</w:t>
      </w:r>
    </w:p>
    <w:p>
      <w:pPr>
        <w:pStyle w:val="Style15"/>
        <w:numPr>
          <w:ilvl w:val="2"/>
          <w:numId w:val="1"/>
        </w:numPr>
        <w:tabs>
          <w:tab w:val="clear" w:pos="720"/>
        </w:tabs>
        <w:jc w:val="both"/>
        <w:rPr/>
      </w:pPr>
      <w:r>
        <w:rPr/>
        <w:t>представляет интересы Общества в государственных органах и органах местного самоуправления;</w:t>
      </w:r>
    </w:p>
    <w:p>
      <w:pPr>
        <w:pStyle w:val="Style15"/>
        <w:numPr>
          <w:ilvl w:val="2"/>
          <w:numId w:val="1"/>
        </w:numPr>
        <w:tabs>
          <w:tab w:val="clear" w:pos="720"/>
        </w:tabs>
        <w:jc w:val="both"/>
        <w:rPr/>
      </w:pPr>
      <w:r>
        <w:rPr/>
        <w:t>открывает и закрывает расчетные и иные счета в банках и иных кредитных организациях;</w:t>
      </w:r>
    </w:p>
    <w:p>
      <w:pPr>
        <w:pStyle w:val="Style15"/>
        <w:numPr>
          <w:ilvl w:val="2"/>
          <w:numId w:val="1"/>
        </w:numPr>
        <w:tabs>
          <w:tab w:val="clear" w:pos="720"/>
        </w:tabs>
        <w:jc w:val="both"/>
        <w:rPr/>
      </w:pPr>
      <w:r>
        <w:rPr/>
        <w:t>в порядке, определенном настоящим Уставом, распоряжается имуществом Общества;</w:t>
      </w:r>
    </w:p>
    <w:p>
      <w:pPr>
        <w:pStyle w:val="Style15"/>
        <w:numPr>
          <w:ilvl w:val="2"/>
          <w:numId w:val="1"/>
        </w:numPr>
        <w:tabs>
          <w:tab w:val="clear" w:pos="720"/>
        </w:tabs>
        <w:jc w:val="both"/>
        <w:rPr/>
      </w:pPr>
      <w:r>
        <w:rPr/>
        <w:t>утверждает положения, регламентирующие систему менеджмента в Обществе;</w:t>
      </w:r>
    </w:p>
    <w:p>
      <w:pPr>
        <w:pStyle w:val="Style15"/>
        <w:numPr>
          <w:ilvl w:val="2"/>
          <w:numId w:val="1"/>
        </w:numPr>
        <w:tabs>
          <w:tab w:val="clear" w:pos="720"/>
        </w:tabs>
        <w:jc w:val="both"/>
        <w:rPr/>
      </w:pPr>
      <w:r>
        <w:rPr/>
        <w:t>осуществляет мероприятия по охране интеллектуальной собственности Общества;</w:t>
      </w:r>
    </w:p>
    <w:p>
      <w:pPr>
        <w:pStyle w:val="Style15"/>
        <w:numPr>
          <w:ilvl w:val="2"/>
          <w:numId w:val="1"/>
        </w:numPr>
        <w:tabs>
          <w:tab w:val="clear" w:pos="720"/>
        </w:tabs>
        <w:jc w:val="both"/>
        <w:rPr/>
      </w:pPr>
      <w:r>
        <w:rPr/>
        <w:t>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pPr>
        <w:pStyle w:val="Style15"/>
        <w:numPr>
          <w:ilvl w:val="2"/>
          <w:numId w:val="1"/>
        </w:numPr>
        <w:tabs>
          <w:tab w:val="clear" w:pos="720"/>
        </w:tabs>
        <w:jc w:val="both"/>
        <w:rPr/>
      </w:pPr>
      <w:r>
        <w:rPr/>
        <w:t>в пределах своей компетенции издает приказы и распоряжения;</w:t>
      </w:r>
    </w:p>
    <w:p>
      <w:pPr>
        <w:pStyle w:val="Style15"/>
        <w:numPr>
          <w:ilvl w:val="2"/>
          <w:numId w:val="1"/>
        </w:numPr>
        <w:tabs>
          <w:tab w:val="clear" w:pos="720"/>
        </w:tabs>
        <w:jc w:val="both"/>
        <w:rPr/>
      </w:pPr>
      <w:r>
        <w:rPr/>
        <w:t>привлекает займы и кредиты в интересах Общества;</w:t>
      </w:r>
    </w:p>
    <w:p>
      <w:pPr>
        <w:pStyle w:val="Style15"/>
        <w:numPr>
          <w:ilvl w:val="2"/>
          <w:numId w:val="1"/>
        </w:numPr>
        <w:tabs>
          <w:tab w:val="clear" w:pos="720"/>
        </w:tabs>
        <w:jc w:val="both"/>
        <w:rPr/>
      </w:pPr>
      <w:r>
        <w:rPr/>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pPr>
        <w:pStyle w:val="Style15"/>
        <w:numPr>
          <w:ilvl w:val="2"/>
          <w:numId w:val="1"/>
        </w:numPr>
        <w:tabs>
          <w:tab w:val="clear" w:pos="720"/>
        </w:tabs>
        <w:jc w:val="both"/>
        <w:rPr/>
      </w:pPr>
      <w:r>
        <w:rPr/>
        <w:t>осуществляет любые иные полномочия, не отнесенные настоящим Уставом к компетенции общего собрания участников Общества.</w:t>
      </w:r>
    </w:p>
    <w:p>
      <w:pPr>
        <w:pStyle w:val="Style14"/>
        <w:numPr>
          <w:ilvl w:val="1"/>
          <w:numId w:val="1"/>
        </w:numPr>
        <w:spacing w:before="120" w:after="120"/>
        <w:rPr/>
      </w:pPr>
      <w:r>
        <w:rPr/>
        <w:t>Генеральный директор Общества принимает решения единолично.</w:t>
      </w:r>
    </w:p>
    <w:p>
      <w:pPr>
        <w:pStyle w:val="Style14"/>
        <w:numPr>
          <w:ilvl w:val="1"/>
          <w:numId w:val="1"/>
        </w:numPr>
        <w:jc w:val="both"/>
        <w:rPr/>
      </w:pPr>
      <w:r>
        <w:rPr/>
        <w:t>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pPr>
        <w:pStyle w:val="Style14"/>
        <w:numPr>
          <w:ilvl w:val="1"/>
          <w:numId w:val="1"/>
        </w:numPr>
        <w:jc w:val="both"/>
        <w:rPr/>
      </w:pPr>
      <w:r>
        <w:rPr/>
        <w:t>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pPr>
        <w:pStyle w:val="1"/>
        <w:numPr>
          <w:ilvl w:val="0"/>
          <w:numId w:val="1"/>
        </w:numPr>
        <w:rPr>
          <w:rFonts w:ascii="Times New Roman" w:hAnsi="Times New Roman" w:cs="Times New Roman"/>
          <w:caps/>
        </w:rPr>
      </w:pPr>
      <w:bookmarkStart w:id="23" w:name="_Toc243918582"/>
      <w:r>
        <w:rPr>
          <w:rFonts w:cs="Times New Roman" w:ascii="Times New Roman" w:hAnsi="Times New Roman"/>
          <w:caps/>
        </w:rPr>
        <w:t>крупная сделка</w:t>
      </w:r>
      <w:bookmarkEnd w:id="23"/>
      <w:r>
        <w:rPr>
          <w:rFonts w:cs="Times New Roman" w:ascii="Times New Roman" w:hAnsi="Times New Roman"/>
          <w:caps/>
        </w:rPr>
        <w:t xml:space="preserve"> </w:t>
      </w:r>
    </w:p>
    <w:p>
      <w:pPr>
        <w:pStyle w:val="Style14"/>
        <w:numPr>
          <w:ilvl w:val="1"/>
          <w:numId w:val="1"/>
        </w:numPr>
        <w:jc w:val="both"/>
        <w:rPr/>
      </w:pPr>
      <w:r>
        <w:rPr/>
        <w:t>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двадцать пять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Общества 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Общества.</w:t>
      </w:r>
    </w:p>
    <w:p>
      <w:pPr>
        <w:pStyle w:val="Style14"/>
        <w:numPr>
          <w:ilvl w:val="1"/>
          <w:numId w:val="1"/>
        </w:numPr>
        <w:jc w:val="both"/>
        <w:rPr/>
      </w:pPr>
      <w:r>
        <w:rPr/>
        <w:t>Крупная сделка требует одобрения Общего собрания участников. Решение принимается двумя третями голосов.</w:t>
      </w:r>
    </w:p>
    <w:p>
      <w:pPr>
        <w:pStyle w:val="Style14"/>
        <w:numPr>
          <w:ilvl w:val="1"/>
          <w:numId w:val="1"/>
        </w:numPr>
        <w:jc w:val="both"/>
        <w:rPr/>
      </w:pPr>
      <w:r>
        <w:rPr/>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pPr>
        <w:pStyle w:val="Style14"/>
        <w:numPr>
          <w:ilvl w:val="1"/>
          <w:numId w:val="1"/>
        </w:numPr>
        <w:jc w:val="both"/>
        <w:rPr/>
      </w:pPr>
      <w:r>
        <w:rPr/>
        <w:t>Положения настоящей статьи о порядке одобрения крупных сделок не применяются к:</w:t>
      </w:r>
      <w:bookmarkStart w:id="24" w:name="p869"/>
      <w:bookmarkEnd w:id="24"/>
    </w:p>
    <w:p>
      <w:pPr>
        <w:pStyle w:val="Style15"/>
        <w:numPr>
          <w:ilvl w:val="2"/>
          <w:numId w:val="1"/>
        </w:numPr>
        <w:tabs>
          <w:tab w:val="clear" w:pos="720"/>
        </w:tabs>
        <w:jc w:val="both"/>
        <w:rPr/>
      </w:pPr>
      <w:r>
        <w:rPr/>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25" w:name="p870"/>
      <w:bookmarkEnd w:id="25"/>
    </w:p>
    <w:p>
      <w:pPr>
        <w:pStyle w:val="Style15"/>
        <w:numPr>
          <w:ilvl w:val="2"/>
          <w:numId w:val="1"/>
        </w:numPr>
        <w:tabs>
          <w:tab w:val="clear" w:pos="720"/>
        </w:tabs>
        <w:jc w:val="both"/>
        <w:rPr/>
      </w:pPr>
      <w:r>
        <w:rP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id="26" w:name="p871"/>
      <w:bookmarkEnd w:id="26"/>
    </w:p>
    <w:p>
      <w:pPr>
        <w:pStyle w:val="Style15"/>
        <w:numPr>
          <w:ilvl w:val="2"/>
          <w:numId w:val="1"/>
        </w:numPr>
        <w:tabs>
          <w:tab w:val="clear" w:pos="720"/>
        </w:tabs>
        <w:jc w:val="both"/>
        <w:rPr/>
      </w:pPr>
      <w:r>
        <w:rP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pPr>
        <w:pStyle w:val="1"/>
        <w:numPr>
          <w:ilvl w:val="0"/>
          <w:numId w:val="1"/>
        </w:numPr>
        <w:rPr>
          <w:rFonts w:ascii="Times New Roman" w:hAnsi="Times New Roman" w:cs="Times New Roman"/>
          <w:caps/>
          <w:lang w:val="en-US"/>
        </w:rPr>
      </w:pPr>
      <w:bookmarkStart w:id="27" w:name="_Toc243918583"/>
      <w:r>
        <w:rPr>
          <w:rFonts w:cs="Times New Roman" w:ascii="Times New Roman" w:hAnsi="Times New Roman"/>
          <w:caps/>
          <w:lang w:val="en-US"/>
        </w:rPr>
        <w:t>Заинтересованность в совершении сделки</w:t>
      </w:r>
      <w:bookmarkEnd w:id="27"/>
    </w:p>
    <w:p>
      <w:pPr>
        <w:pStyle w:val="Style14"/>
        <w:numPr>
          <w:ilvl w:val="1"/>
          <w:numId w:val="1"/>
        </w:numPr>
        <w:jc w:val="both"/>
        <w:rPr/>
      </w:pPr>
      <w:r>
        <w:rPr/>
        <w:t>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pPr>
        <w:pStyle w:val="Style15"/>
        <w:numPr>
          <w:ilvl w:val="2"/>
          <w:numId w:val="1"/>
        </w:numPr>
        <w:tabs>
          <w:tab w:val="clear" w:pos="720"/>
        </w:tabs>
        <w:jc w:val="both"/>
        <w:rPr/>
      </w:pPr>
      <w:r>
        <w:rPr/>
        <w:t>являются стороной сделки или выступают в интересах третьих лиц в их отношениях с Обществом;</w:t>
      </w:r>
    </w:p>
    <w:p>
      <w:pPr>
        <w:pStyle w:val="Style15"/>
        <w:numPr>
          <w:ilvl w:val="2"/>
          <w:numId w:val="1"/>
        </w:numPr>
        <w:tabs>
          <w:tab w:val="clear" w:pos="720"/>
        </w:tabs>
        <w:jc w:val="both"/>
        <w:rPr/>
      </w:pPr>
      <w:r>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pPr>
        <w:pStyle w:val="Style15"/>
        <w:numPr>
          <w:ilvl w:val="2"/>
          <w:numId w:val="1"/>
        </w:numPr>
        <w:tabs>
          <w:tab w:val="clear" w:pos="720"/>
        </w:tabs>
        <w:jc w:val="both"/>
        <w:rPr/>
      </w:pPr>
      <w:r>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pPr>
        <w:pStyle w:val="Style14"/>
        <w:numPr>
          <w:ilvl w:val="1"/>
          <w:numId w:val="1"/>
        </w:numPr>
        <w:jc w:val="both"/>
        <w:rPr/>
      </w:pPr>
      <w:r>
        <w:rPr/>
        <w:t>Лица, указанные в пункте 23.1 настоящей статьи, должны доводить до сведения общего собрания участников Общества информацию:</w:t>
      </w:r>
    </w:p>
    <w:p>
      <w:pPr>
        <w:pStyle w:val="Style15"/>
        <w:numPr>
          <w:ilvl w:val="2"/>
          <w:numId w:val="1"/>
        </w:numPr>
        <w:tabs>
          <w:tab w:val="clear" w:pos="720"/>
        </w:tabs>
        <w:jc w:val="both"/>
        <w:rPr/>
      </w:pPr>
      <w:r>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pPr>
        <w:pStyle w:val="Style15"/>
        <w:numPr>
          <w:ilvl w:val="2"/>
          <w:numId w:val="1"/>
        </w:numPr>
        <w:tabs>
          <w:tab w:val="clear" w:pos="720"/>
        </w:tabs>
        <w:jc w:val="both"/>
        <w:rPr/>
      </w:pPr>
      <w:r>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pPr>
        <w:pStyle w:val="Style15"/>
        <w:numPr>
          <w:ilvl w:val="2"/>
          <w:numId w:val="1"/>
        </w:numPr>
        <w:tabs>
          <w:tab w:val="clear" w:pos="720"/>
        </w:tabs>
        <w:jc w:val="both"/>
        <w:rPr/>
      </w:pPr>
      <w:r>
        <w:rPr/>
        <w:t>об известных им совершаемых или предполагаемых сделках, в совершении которых они могут быть признаны заинтересованными.</w:t>
      </w:r>
    </w:p>
    <w:p>
      <w:pPr>
        <w:pStyle w:val="Style14"/>
        <w:numPr>
          <w:ilvl w:val="1"/>
          <w:numId w:val="1"/>
        </w:numPr>
        <w:jc w:val="both"/>
        <w:rPr/>
      </w:pPr>
      <w:r>
        <w:rP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pPr>
        <w:pStyle w:val="Style14"/>
        <w:numPr>
          <w:ilvl w:val="1"/>
          <w:numId w:val="1"/>
        </w:numPr>
        <w:jc w:val="both"/>
        <w:rPr/>
      </w:pPr>
      <w:r>
        <w:rPr/>
        <w:t>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Общества.</w:t>
      </w:r>
    </w:p>
    <w:p>
      <w:pPr>
        <w:pStyle w:val="Style14"/>
        <w:numPr>
          <w:ilvl w:val="1"/>
          <w:numId w:val="1"/>
        </w:numPr>
        <w:jc w:val="both"/>
        <w:rPr/>
      </w:pPr>
      <w:r>
        <w:rP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pPr>
        <w:pStyle w:val="Style14"/>
        <w:numPr>
          <w:ilvl w:val="1"/>
          <w:numId w:val="1"/>
        </w:numPr>
        <w:jc w:val="both"/>
        <w:rPr/>
      </w:pPr>
      <w:r>
        <w:rPr/>
        <w:t>Положения о заинтересованности в совершении сделок не применяются к:</w:t>
      </w:r>
    </w:p>
    <w:p>
      <w:pPr>
        <w:pStyle w:val="Style15"/>
        <w:numPr>
          <w:ilvl w:val="2"/>
          <w:numId w:val="1"/>
        </w:numPr>
        <w:tabs>
          <w:tab w:val="clear" w:pos="720"/>
        </w:tabs>
        <w:jc w:val="both"/>
        <w:rPr/>
      </w:pPr>
      <w:r>
        <w:rPr/>
        <w:t>Обществу, состоящему из одного участника, который одновременно осуществляет функции Исполнительного органа Общества;</w:t>
      </w:r>
    </w:p>
    <w:p>
      <w:pPr>
        <w:pStyle w:val="Style15"/>
        <w:numPr>
          <w:ilvl w:val="2"/>
          <w:numId w:val="1"/>
        </w:numPr>
        <w:tabs>
          <w:tab w:val="clear" w:pos="720"/>
        </w:tabs>
        <w:jc w:val="both"/>
        <w:rPr/>
      </w:pPr>
      <w:r>
        <w:rPr/>
        <w:t>сделкам, в совершении которых заинтересованы все участники Общества;</w:t>
      </w:r>
    </w:p>
    <w:p>
      <w:pPr>
        <w:pStyle w:val="Style15"/>
        <w:numPr>
          <w:ilvl w:val="2"/>
          <w:numId w:val="1"/>
        </w:numPr>
        <w:tabs>
          <w:tab w:val="clear" w:pos="720"/>
        </w:tabs>
        <w:jc w:val="both"/>
        <w:rPr/>
      </w:pPr>
      <w:r>
        <w:rPr/>
        <w:t>отношениям, возникающим при переходе к Обществу доли или части доли в его уставном капитале в случаях, предусмотренных настоящим Уставом;</w:t>
      </w:r>
    </w:p>
    <w:p>
      <w:pPr>
        <w:pStyle w:val="Style15"/>
        <w:numPr>
          <w:ilvl w:val="2"/>
          <w:numId w:val="1"/>
        </w:numPr>
        <w:tabs>
          <w:tab w:val="clear" w:pos="720"/>
        </w:tabs>
        <w:jc w:val="both"/>
        <w:rPr/>
      </w:pPr>
      <w:r>
        <w:rP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pPr>
        <w:pStyle w:val="Style15"/>
        <w:numPr>
          <w:ilvl w:val="2"/>
          <w:numId w:val="1"/>
        </w:numPr>
        <w:tabs>
          <w:tab w:val="clear" w:pos="720"/>
        </w:tabs>
        <w:jc w:val="both"/>
        <w:rPr/>
      </w:pPr>
      <w:r>
        <w:rP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pPr>
        <w:pStyle w:val="1"/>
        <w:numPr>
          <w:ilvl w:val="0"/>
          <w:numId w:val="1"/>
        </w:numPr>
        <w:rPr>
          <w:rFonts w:ascii="Times New Roman" w:hAnsi="Times New Roman" w:cs="Times New Roman"/>
          <w:caps/>
        </w:rPr>
      </w:pPr>
      <w:bookmarkStart w:id="28" w:name="_Toc243918584"/>
      <w:r>
        <w:rPr>
          <w:rFonts w:cs="Times New Roman" w:ascii="Times New Roman" w:hAnsi="Times New Roman"/>
          <w:caps/>
        </w:rPr>
        <w:t>Ревизионная комиссия</w:t>
      </w:r>
      <w:bookmarkEnd w:id="28"/>
    </w:p>
    <w:p>
      <w:pPr>
        <w:pStyle w:val="Style14"/>
        <w:numPr>
          <w:ilvl w:val="1"/>
          <w:numId w:val="1"/>
        </w:numPr>
        <w:jc w:val="both"/>
        <w:rPr/>
      </w:pPr>
      <w:r>
        <w:rPr/>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pPr>
        <w:pStyle w:val="Style14"/>
        <w:numPr>
          <w:ilvl w:val="1"/>
          <w:numId w:val="1"/>
        </w:numPr>
        <w:jc w:val="both"/>
        <w:rPr/>
      </w:pPr>
      <w:r>
        <w:rPr/>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pPr>
        <w:pStyle w:val="Style14"/>
        <w:numPr>
          <w:ilvl w:val="1"/>
          <w:numId w:val="1"/>
        </w:numPr>
        <w:jc w:val="both"/>
        <w:rPr/>
      </w:pPr>
      <w:r>
        <w:rPr/>
        <w:t>Ревизионная комиссия (Ревизор) Общества составляет заключения годовым отчетам и годовым бухгалтерским балансам Общества.</w:t>
      </w:r>
    </w:p>
    <w:p>
      <w:pPr>
        <w:pStyle w:val="Style14"/>
        <w:numPr>
          <w:ilvl w:val="1"/>
          <w:numId w:val="1"/>
        </w:numPr>
        <w:jc w:val="both"/>
        <w:rPr/>
      </w:pPr>
      <w:r>
        <w:rPr/>
        <w:t>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pPr>
        <w:pStyle w:val="Style14"/>
        <w:numPr>
          <w:ilvl w:val="1"/>
          <w:numId w:val="1"/>
        </w:numPr>
        <w:jc w:val="both"/>
        <w:rPr/>
      </w:pPr>
      <w:r>
        <w:rPr/>
        <w:t>В Обществах, имеющих более пятнадцати Участников, образование ревизионной комиссии Общества (избрание Ревизора) Общества является обязательным.</w:t>
      </w:r>
    </w:p>
    <w:p>
      <w:pPr>
        <w:pStyle w:val="Style14"/>
        <w:numPr>
          <w:ilvl w:val="1"/>
          <w:numId w:val="1"/>
        </w:numPr>
        <w:jc w:val="both"/>
        <w:rPr/>
      </w:pPr>
      <w:r>
        <w:rPr/>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pPr>
        <w:pStyle w:val="Style14"/>
        <w:numPr>
          <w:ilvl w:val="1"/>
          <w:numId w:val="1"/>
        </w:numPr>
        <w:jc w:val="both"/>
        <w:rPr/>
      </w:pPr>
      <w:r>
        <w:rPr/>
        <w:t>Регламент и порядок работы Ревизионной комиссии (Ревизора) Общества определяется внутренними документами Общества, утверждаемыми Общим собранием Участников Общества.</w:t>
      </w:r>
    </w:p>
    <w:p>
      <w:pPr>
        <w:pStyle w:val="1"/>
        <w:numPr>
          <w:ilvl w:val="0"/>
          <w:numId w:val="1"/>
        </w:numPr>
        <w:rPr>
          <w:rFonts w:ascii="Times New Roman" w:hAnsi="Times New Roman" w:cs="Times New Roman"/>
          <w:caps/>
        </w:rPr>
      </w:pPr>
      <w:bookmarkStart w:id="29" w:name="_Toc243918585"/>
      <w:r>
        <w:rPr>
          <w:rFonts w:cs="Times New Roman" w:ascii="Times New Roman" w:hAnsi="Times New Roman"/>
          <w:caps/>
        </w:rPr>
        <w:t>коммерческая тайна общества</w:t>
      </w:r>
      <w:bookmarkEnd w:id="29"/>
    </w:p>
    <w:p>
      <w:pPr>
        <w:pStyle w:val="Style14"/>
        <w:numPr>
          <w:ilvl w:val="1"/>
          <w:numId w:val="1"/>
        </w:numPr>
        <w:jc w:val="both"/>
        <w:rPr/>
      </w:pPr>
      <w:r>
        <w:rPr/>
        <w:t>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доходы, избежать неоправданных расходов, сохранить положение на рынке или получить иную коммерческую выгоду.</w:t>
      </w:r>
    </w:p>
    <w:p>
      <w:pPr>
        <w:pStyle w:val="Style14"/>
        <w:numPr>
          <w:ilvl w:val="1"/>
          <w:numId w:val="1"/>
        </w:numPr>
        <w:jc w:val="both"/>
        <w:rPr/>
      </w:pPr>
      <w:r>
        <w:rPr/>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
    <w:p>
      <w:pPr>
        <w:pStyle w:val="Style14"/>
        <w:numPr>
          <w:ilvl w:val="1"/>
          <w:numId w:val="1"/>
        </w:numPr>
        <w:jc w:val="both"/>
        <w:rPr/>
      </w:pPr>
      <w:r>
        <w:rPr/>
        <w:t>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pPr>
        <w:pStyle w:val="Style14"/>
        <w:numPr>
          <w:ilvl w:val="1"/>
          <w:numId w:val="1"/>
        </w:numPr>
        <w:jc w:val="both"/>
        <w:rPr/>
      </w:pPr>
      <w:r>
        <w:rPr/>
        <w:t>В Обществе установлен режим коммерческой тайны, который заключается в:</w:t>
      </w:r>
    </w:p>
    <w:p>
      <w:pPr>
        <w:pStyle w:val="Style15"/>
        <w:numPr>
          <w:ilvl w:val="2"/>
          <w:numId w:val="1"/>
        </w:numPr>
        <w:tabs>
          <w:tab w:val="clear" w:pos="720"/>
        </w:tabs>
        <w:jc w:val="both"/>
        <w:rPr/>
      </w:pPr>
      <w:r>
        <w:rPr/>
        <w:t>определении перечня сведений, составляющих коммерческую тайну Общества;</w:t>
      </w:r>
    </w:p>
    <w:p>
      <w:pPr>
        <w:pStyle w:val="Style15"/>
        <w:numPr>
          <w:ilvl w:val="2"/>
          <w:numId w:val="1"/>
        </w:numPr>
        <w:tabs>
          <w:tab w:val="clear" w:pos="720"/>
        </w:tabs>
        <w:jc w:val="both"/>
        <w:rPr/>
      </w:pPr>
      <w:r>
        <w:rPr/>
        <w:t>ограничении круга лиц, имеющих право доступа к такой информации;</w:t>
      </w:r>
    </w:p>
    <w:p>
      <w:pPr>
        <w:pStyle w:val="Style15"/>
        <w:numPr>
          <w:ilvl w:val="2"/>
          <w:numId w:val="1"/>
        </w:numPr>
        <w:tabs>
          <w:tab w:val="clear" w:pos="720"/>
        </w:tabs>
        <w:jc w:val="both"/>
        <w:rPr/>
      </w:pPr>
      <w:r>
        <w:rPr/>
        <w:t>учета лиц, получивших доступ к коммерческой тайне Общества;</w:t>
      </w:r>
    </w:p>
    <w:p>
      <w:pPr>
        <w:pStyle w:val="Style15"/>
        <w:numPr>
          <w:ilvl w:val="2"/>
          <w:numId w:val="1"/>
        </w:numPr>
        <w:tabs>
          <w:tab w:val="clear" w:pos="720"/>
        </w:tabs>
        <w:jc w:val="both"/>
        <w:rPr/>
      </w:pPr>
      <w:r>
        <w:rPr/>
        <w:t>установления порядка передачи конфиденциальной информации;</w:t>
      </w:r>
    </w:p>
    <w:p>
      <w:pPr>
        <w:pStyle w:val="Style15"/>
        <w:numPr>
          <w:ilvl w:val="2"/>
          <w:numId w:val="1"/>
        </w:numPr>
        <w:tabs>
          <w:tab w:val="clear" w:pos="720"/>
        </w:tabs>
        <w:jc w:val="both"/>
        <w:rPr/>
      </w:pPr>
      <w:r>
        <w:rPr/>
        <w:t>установления запрета на разглашение коммерческой тайны Общества;</w:t>
      </w:r>
    </w:p>
    <w:p>
      <w:pPr>
        <w:pStyle w:val="Style15"/>
        <w:numPr>
          <w:ilvl w:val="2"/>
          <w:numId w:val="1"/>
        </w:numPr>
        <w:tabs>
          <w:tab w:val="clear" w:pos="720"/>
        </w:tabs>
        <w:jc w:val="both"/>
        <w:rPr/>
      </w:pPr>
      <w:r>
        <w:rPr/>
        <w:t>регулировании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pPr>
        <w:pStyle w:val="Style15"/>
        <w:numPr>
          <w:ilvl w:val="2"/>
          <w:numId w:val="1"/>
        </w:numPr>
        <w:tabs>
          <w:tab w:val="clear" w:pos="720"/>
        </w:tabs>
        <w:jc w:val="both"/>
        <w:rPr/>
      </w:pPr>
      <w:r>
        <w:rPr/>
        <w:t xml:space="preserve">нанесении на материальные носители (документы), содержащие информацию, составляющую коммерческую тайну, грифа "Коммерческая тайна". </w:t>
      </w:r>
    </w:p>
    <w:p>
      <w:pPr>
        <w:pStyle w:val="Style14"/>
        <w:numPr>
          <w:ilvl w:val="1"/>
          <w:numId w:val="1"/>
        </w:numPr>
        <w:spacing w:before="120" w:after="120"/>
        <w:jc w:val="both"/>
        <w:rPr/>
      </w:pPr>
      <w:r>
        <w:rPr/>
        <w:t>Следующие сведения безусловно составляют коммерческую тайну Общества:</w:t>
      </w:r>
    </w:p>
    <w:p>
      <w:pPr>
        <w:pStyle w:val="Style15"/>
        <w:numPr>
          <w:ilvl w:val="2"/>
          <w:numId w:val="1"/>
        </w:numPr>
        <w:tabs>
          <w:tab w:val="clear" w:pos="720"/>
        </w:tabs>
        <w:jc w:val="both"/>
        <w:rPr/>
      </w:pPr>
      <w:r>
        <w:rPr/>
        <w:t>персональные данные работников Общества;</w:t>
      </w:r>
    </w:p>
    <w:p>
      <w:pPr>
        <w:pStyle w:val="Style15"/>
        <w:numPr>
          <w:ilvl w:val="2"/>
          <w:numId w:val="1"/>
        </w:numPr>
        <w:tabs>
          <w:tab w:val="clear" w:pos="720"/>
        </w:tabs>
        <w:jc w:val="both"/>
        <w:rPr/>
      </w:pPr>
      <w:r>
        <w:rPr/>
        <w:t>сведения о поставщиках и покупателях Общества;</w:t>
      </w:r>
    </w:p>
    <w:p>
      <w:pPr>
        <w:pStyle w:val="Style15"/>
        <w:numPr>
          <w:ilvl w:val="2"/>
          <w:numId w:val="1"/>
        </w:numPr>
        <w:tabs>
          <w:tab w:val="clear" w:pos="720"/>
        </w:tabs>
        <w:jc w:val="both"/>
        <w:rPr/>
      </w:pPr>
      <w:r>
        <w:rPr/>
        <w:t>сведения о дебиторах Общества;</w:t>
      </w:r>
    </w:p>
    <w:p>
      <w:pPr>
        <w:pStyle w:val="Style15"/>
        <w:numPr>
          <w:ilvl w:val="2"/>
          <w:numId w:val="1"/>
        </w:numPr>
        <w:tabs>
          <w:tab w:val="clear" w:pos="720"/>
        </w:tabs>
        <w:jc w:val="both"/>
        <w:rPr/>
      </w:pPr>
      <w:r>
        <w:rPr/>
        <w:t>сведения о кредиторах Общества;</w:t>
      </w:r>
    </w:p>
    <w:p>
      <w:pPr>
        <w:pStyle w:val="Style15"/>
        <w:numPr>
          <w:ilvl w:val="2"/>
          <w:numId w:val="1"/>
        </w:numPr>
        <w:tabs>
          <w:tab w:val="clear" w:pos="720"/>
        </w:tabs>
        <w:jc w:val="both"/>
        <w:rPr/>
      </w:pPr>
      <w:r>
        <w:rPr/>
        <w:t>сведения о подрядчиках;</w:t>
      </w:r>
    </w:p>
    <w:p>
      <w:pPr>
        <w:pStyle w:val="Style15"/>
        <w:numPr>
          <w:ilvl w:val="2"/>
          <w:numId w:val="1"/>
        </w:numPr>
        <w:tabs>
          <w:tab w:val="clear" w:pos="720"/>
        </w:tabs>
        <w:jc w:val="both"/>
        <w:rPr/>
      </w:pPr>
      <w:r>
        <w:rPr/>
        <w:t>сведения об агентах, комиссионерах, поверенных и иных посредниках;</w:t>
      </w:r>
    </w:p>
    <w:p>
      <w:pPr>
        <w:pStyle w:val="Style15"/>
        <w:numPr>
          <w:ilvl w:val="2"/>
          <w:numId w:val="1"/>
        </w:numPr>
        <w:tabs>
          <w:tab w:val="clear" w:pos="720"/>
        </w:tabs>
        <w:jc w:val="both"/>
        <w:rPr/>
      </w:pPr>
      <w:r>
        <w:rPr/>
        <w:t>сведения о стоимости товаров, приобретаемых на основании договоров поставки;</w:t>
      </w:r>
    </w:p>
    <w:p>
      <w:pPr>
        <w:pStyle w:val="Style15"/>
        <w:numPr>
          <w:ilvl w:val="2"/>
          <w:numId w:val="1"/>
        </w:numPr>
        <w:tabs>
          <w:tab w:val="clear" w:pos="720"/>
        </w:tabs>
        <w:jc w:val="both"/>
        <w:rPr/>
      </w:pPr>
      <w:r>
        <w:rPr/>
        <w:t>сведения о стоимости работ, выполняемых подрядчиками;</w:t>
      </w:r>
    </w:p>
    <w:p>
      <w:pPr>
        <w:pStyle w:val="Style15"/>
        <w:numPr>
          <w:ilvl w:val="2"/>
          <w:numId w:val="1"/>
        </w:numPr>
        <w:tabs>
          <w:tab w:val="clear" w:pos="720"/>
        </w:tabs>
        <w:jc w:val="both"/>
        <w:rPr/>
      </w:pPr>
      <w:r>
        <w:rPr/>
        <w:t>размеры вознаграждений по любым гражданско-правовым сделкам;</w:t>
      </w:r>
    </w:p>
    <w:p>
      <w:pPr>
        <w:pStyle w:val="Style15"/>
        <w:numPr>
          <w:ilvl w:val="2"/>
          <w:numId w:val="1"/>
        </w:numPr>
        <w:tabs>
          <w:tab w:val="clear" w:pos="720"/>
        </w:tabs>
        <w:jc w:val="both"/>
        <w:rPr/>
      </w:pPr>
      <w:r>
        <w:rPr/>
        <w:t>данные регистров бухгалтерского учета;</w:t>
      </w:r>
    </w:p>
    <w:p>
      <w:pPr>
        <w:pStyle w:val="Style15"/>
        <w:numPr>
          <w:ilvl w:val="2"/>
          <w:numId w:val="1"/>
        </w:numPr>
        <w:tabs>
          <w:tab w:val="clear" w:pos="720"/>
        </w:tabs>
        <w:jc w:val="both"/>
        <w:rPr/>
      </w:pPr>
      <w:r>
        <w:rPr/>
        <w:t>деловая переписка;</w:t>
      </w:r>
    </w:p>
    <w:p>
      <w:pPr>
        <w:pStyle w:val="Style15"/>
        <w:numPr>
          <w:ilvl w:val="2"/>
          <w:numId w:val="1"/>
        </w:numPr>
        <w:tabs>
          <w:tab w:val="clear" w:pos="720"/>
        </w:tabs>
        <w:jc w:val="both"/>
        <w:rPr/>
      </w:pPr>
      <w:r>
        <w:rPr/>
        <w:t>содержание деловых переговоров с контрагентами;</w:t>
      </w:r>
    </w:p>
    <w:p>
      <w:pPr>
        <w:pStyle w:val="Style15"/>
        <w:numPr>
          <w:ilvl w:val="2"/>
          <w:numId w:val="1"/>
        </w:numPr>
        <w:tabs>
          <w:tab w:val="clear" w:pos="720"/>
        </w:tabs>
        <w:jc w:val="both"/>
        <w:rPr/>
      </w:pPr>
      <w:r>
        <w:rPr/>
        <w:t>методики ценообразования;</w:t>
      </w:r>
    </w:p>
    <w:p>
      <w:pPr>
        <w:pStyle w:val="Style15"/>
        <w:numPr>
          <w:ilvl w:val="2"/>
          <w:numId w:val="1"/>
        </w:numPr>
        <w:tabs>
          <w:tab w:val="clear" w:pos="720"/>
        </w:tabs>
        <w:jc w:val="both"/>
        <w:rPr/>
      </w:pPr>
      <w:r>
        <w:rPr/>
        <w:t>методики производства;</w:t>
      </w:r>
    </w:p>
    <w:p>
      <w:pPr>
        <w:pStyle w:val="Style15"/>
        <w:numPr>
          <w:ilvl w:val="2"/>
          <w:numId w:val="1"/>
        </w:numPr>
        <w:tabs>
          <w:tab w:val="clear" w:pos="720"/>
        </w:tabs>
        <w:jc w:val="both"/>
        <w:rPr/>
      </w:pPr>
      <w:r>
        <w:rPr/>
        <w:t>планируемые маркетинговые акции и мероприятия;</w:t>
      </w:r>
    </w:p>
    <w:p>
      <w:pPr>
        <w:pStyle w:val="Style15"/>
        <w:numPr>
          <w:ilvl w:val="2"/>
          <w:numId w:val="1"/>
        </w:numPr>
        <w:tabs>
          <w:tab w:val="clear" w:pos="720"/>
        </w:tabs>
        <w:jc w:val="both"/>
        <w:rPr/>
      </w:pPr>
      <w:r>
        <w:rPr/>
        <w:t>маркетинговая политика;</w:t>
      </w:r>
    </w:p>
    <w:p>
      <w:pPr>
        <w:pStyle w:val="Style15"/>
        <w:numPr>
          <w:ilvl w:val="2"/>
          <w:numId w:val="1"/>
        </w:numPr>
        <w:tabs>
          <w:tab w:val="clear" w:pos="720"/>
        </w:tabs>
        <w:jc w:val="both"/>
        <w:rPr/>
      </w:pPr>
      <w:r>
        <w:rPr/>
        <w:t>сведения об условиях купли-продажи недвижимого имущества и автотранспорта;</w:t>
      </w:r>
    </w:p>
    <w:p>
      <w:pPr>
        <w:pStyle w:val="Style15"/>
        <w:numPr>
          <w:ilvl w:val="2"/>
          <w:numId w:val="1"/>
        </w:numPr>
        <w:tabs>
          <w:tab w:val="clear" w:pos="720"/>
        </w:tabs>
        <w:jc w:val="both"/>
        <w:rPr/>
      </w:pPr>
      <w:r>
        <w:rPr/>
        <w:t>сведения о заключенных кредитных договорах и лизинговых соглашениях;</w:t>
      </w:r>
    </w:p>
    <w:p>
      <w:pPr>
        <w:pStyle w:val="Style15"/>
        <w:numPr>
          <w:ilvl w:val="2"/>
          <w:numId w:val="1"/>
        </w:numPr>
        <w:tabs>
          <w:tab w:val="clear" w:pos="720"/>
        </w:tabs>
        <w:jc w:val="both"/>
        <w:rPr/>
      </w:pPr>
      <w:r>
        <w:rPr/>
        <w:t>информация, содержащаяся в локальной компьютерной сети  и компьютерах Общества;</w:t>
      </w:r>
    </w:p>
    <w:p>
      <w:pPr>
        <w:pStyle w:val="Style15"/>
        <w:numPr>
          <w:ilvl w:val="2"/>
          <w:numId w:val="1"/>
        </w:numPr>
        <w:tabs>
          <w:tab w:val="clear" w:pos="720"/>
        </w:tabs>
        <w:jc w:val="both"/>
        <w:rPr/>
      </w:pPr>
      <w:r>
        <w:rPr/>
        <w:t>планируемые мероприятия по расширению бизнеса;</w:t>
      </w:r>
    </w:p>
    <w:p>
      <w:pPr>
        <w:pStyle w:val="Style15"/>
        <w:numPr>
          <w:ilvl w:val="2"/>
          <w:numId w:val="1"/>
        </w:numPr>
        <w:tabs>
          <w:tab w:val="clear" w:pos="720"/>
        </w:tabs>
        <w:jc w:val="both"/>
        <w:rPr/>
      </w:pPr>
      <w:r>
        <w:rPr/>
        <w:t>сведения о планируемых сделках;</w:t>
      </w:r>
    </w:p>
    <w:p>
      <w:pPr>
        <w:pStyle w:val="Style15"/>
        <w:numPr>
          <w:ilvl w:val="2"/>
          <w:numId w:val="1"/>
        </w:numPr>
        <w:tabs>
          <w:tab w:val="clear" w:pos="720"/>
        </w:tabs>
        <w:jc w:val="both"/>
        <w:rPr/>
      </w:pPr>
      <w:r>
        <w:rPr/>
        <w:t>данные аудиторских заключений;</w:t>
      </w:r>
    </w:p>
    <w:p>
      <w:pPr>
        <w:pStyle w:val="Style15"/>
        <w:numPr>
          <w:ilvl w:val="2"/>
          <w:numId w:val="1"/>
        </w:numPr>
        <w:tabs>
          <w:tab w:val="clear" w:pos="720"/>
        </w:tabs>
        <w:jc w:val="both"/>
        <w:rPr/>
      </w:pPr>
      <w:r>
        <w:rPr/>
        <w:t>методы организации работы структурных подразделений Общества;</w:t>
      </w:r>
    </w:p>
    <w:p>
      <w:pPr>
        <w:pStyle w:val="Style15"/>
        <w:numPr>
          <w:ilvl w:val="2"/>
          <w:numId w:val="1"/>
        </w:numPr>
        <w:tabs>
          <w:tab w:val="clear" w:pos="720"/>
        </w:tabs>
        <w:jc w:val="both"/>
        <w:rPr/>
      </w:pPr>
      <w:r>
        <w:rPr/>
        <w:t>бизнес-планы Общества;</w:t>
      </w:r>
    </w:p>
    <w:p>
      <w:pPr>
        <w:pStyle w:val="Style15"/>
        <w:numPr>
          <w:ilvl w:val="2"/>
          <w:numId w:val="1"/>
        </w:numPr>
        <w:tabs>
          <w:tab w:val="clear" w:pos="720"/>
        </w:tabs>
        <w:jc w:val="both"/>
        <w:rPr/>
      </w:pPr>
      <w:r>
        <w:rPr/>
        <w:t>сведения о местах расположения датчиков, кнопок и иных устройств тревожной сигнализации, местах расположения средств видеонаблюдения, режиме работы охраны;</w:t>
      </w:r>
    </w:p>
    <w:p>
      <w:pPr>
        <w:pStyle w:val="Style15"/>
        <w:numPr>
          <w:ilvl w:val="2"/>
          <w:numId w:val="1"/>
        </w:numPr>
        <w:tabs>
          <w:tab w:val="clear" w:pos="720"/>
        </w:tabs>
        <w:jc w:val="both"/>
        <w:rPr/>
      </w:pPr>
      <w:r>
        <w:rPr/>
        <w:t>любые иные сведения, явно составляющие секреты производства («НОУ-ХАУ»).</w:t>
      </w:r>
    </w:p>
    <w:p>
      <w:pPr>
        <w:pStyle w:val="Style14"/>
        <w:numPr>
          <w:ilvl w:val="1"/>
          <w:numId w:val="1"/>
        </w:numPr>
        <w:spacing w:before="120" w:after="120"/>
        <w:jc w:val="both"/>
        <w:rPr/>
      </w:pPr>
      <w:r>
        <w:rPr/>
        <w:t>Коммерческую тайну Общества не могут составлять следующие сведения:</w:t>
      </w:r>
    </w:p>
    <w:p>
      <w:pPr>
        <w:pStyle w:val="Style15"/>
        <w:numPr>
          <w:ilvl w:val="2"/>
          <w:numId w:val="1"/>
        </w:numPr>
        <w:tabs>
          <w:tab w:val="clear" w:pos="720"/>
        </w:tabs>
        <w:jc w:val="both"/>
        <w:rPr/>
      </w:pPr>
      <w:r>
        <w:rPr/>
        <w:t>сведения, содержащиеся в  Уставе Общества;</w:t>
      </w:r>
    </w:p>
    <w:p>
      <w:pPr>
        <w:pStyle w:val="Style15"/>
        <w:numPr>
          <w:ilvl w:val="2"/>
          <w:numId w:val="1"/>
        </w:numPr>
        <w:tabs>
          <w:tab w:val="clear" w:pos="720"/>
        </w:tabs>
        <w:jc w:val="both"/>
        <w:rPr/>
      </w:pPr>
      <w:r>
        <w:rPr/>
        <w:t>сведения, содержащиеся в документах, дающих право на осуществление предпринимательской деятельности;</w:t>
      </w:r>
    </w:p>
    <w:p>
      <w:pPr>
        <w:pStyle w:val="Style15"/>
        <w:numPr>
          <w:ilvl w:val="2"/>
          <w:numId w:val="1"/>
        </w:numPr>
        <w:tabs>
          <w:tab w:val="clear" w:pos="720"/>
        </w:tabs>
        <w:jc w:val="both"/>
        <w:rPr/>
      </w:pPr>
      <w:r>
        <w:rPr/>
        <w:t>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pPr>
        <w:pStyle w:val="Style15"/>
        <w:numPr>
          <w:ilvl w:val="2"/>
          <w:numId w:val="1"/>
        </w:numPr>
        <w:tabs>
          <w:tab w:val="clear" w:pos="720"/>
        </w:tabs>
        <w:jc w:val="both"/>
        <w:rPr/>
      </w:pPr>
      <w:r>
        <w:rPr/>
        <w:t>сведения, подлежащие обязательному раскрытию в соответствии с законом;</w:t>
      </w:r>
    </w:p>
    <w:p>
      <w:pPr>
        <w:pStyle w:val="Style15"/>
        <w:numPr>
          <w:ilvl w:val="2"/>
          <w:numId w:val="1"/>
        </w:numPr>
        <w:tabs>
          <w:tab w:val="clear" w:pos="720"/>
        </w:tabs>
        <w:jc w:val="both"/>
        <w:rPr/>
      </w:pPr>
      <w:r>
        <w:rPr/>
        <w:t>сведения об условиях труда в Обществе;</w:t>
      </w:r>
    </w:p>
    <w:p>
      <w:pPr>
        <w:pStyle w:val="Style15"/>
        <w:numPr>
          <w:ilvl w:val="2"/>
          <w:numId w:val="1"/>
        </w:numPr>
        <w:tabs>
          <w:tab w:val="clear" w:pos="720"/>
        </w:tabs>
        <w:jc w:val="both"/>
        <w:rPr/>
      </w:pPr>
      <w:r>
        <w:rPr/>
        <w:t>иные сведения, которые не могут составлять коммерческую тайну в силу закона.</w:t>
      </w:r>
    </w:p>
    <w:p>
      <w:pPr>
        <w:pStyle w:val="Style14"/>
        <w:numPr>
          <w:ilvl w:val="1"/>
          <w:numId w:val="1"/>
        </w:numPr>
        <w:spacing w:before="120" w:after="120"/>
        <w:jc w:val="both"/>
        <w:rPr/>
      </w:pPr>
      <w:r>
        <w:rPr/>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pPr>
        <w:pStyle w:val="Style14"/>
        <w:numPr>
          <w:ilvl w:val="1"/>
          <w:numId w:val="1"/>
        </w:numPr>
        <w:jc w:val="both"/>
        <w:rPr/>
      </w:pPr>
      <w:r>
        <w:rPr/>
        <w:t>B случае,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pPr>
        <w:pStyle w:val="Style14"/>
        <w:numPr>
          <w:ilvl w:val="1"/>
          <w:numId w:val="1"/>
        </w:numPr>
        <w:jc w:val="both"/>
        <w:rPr/>
      </w:pPr>
      <w:r>
        <w:rPr/>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pPr>
        <w:pStyle w:val="Style14"/>
        <w:numPr>
          <w:ilvl w:val="1"/>
          <w:numId w:val="1"/>
        </w:numPr>
        <w:jc w:val="both"/>
        <w:rPr/>
      </w:pPr>
      <w:r>
        <w:rPr/>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pPr>
        <w:pStyle w:val="Style14"/>
        <w:numPr>
          <w:ilvl w:val="1"/>
          <w:numId w:val="1"/>
        </w:numPr>
        <w:jc w:val="both"/>
        <w:rPr/>
      </w:pPr>
      <w:r>
        <w:rPr/>
        <w:t>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pPr>
        <w:pStyle w:val="Style14"/>
        <w:numPr>
          <w:ilvl w:val="1"/>
          <w:numId w:val="1"/>
        </w:numPr>
        <w:jc w:val="both"/>
        <w:rPr/>
      </w:pPr>
      <w:r>
        <w:rPr/>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pPr>
        <w:pStyle w:val="Style14"/>
        <w:numPr>
          <w:ilvl w:val="1"/>
          <w:numId w:val="1"/>
        </w:numPr>
        <w:jc w:val="both"/>
        <w:rPr/>
      </w:pPr>
      <w:r>
        <w:rPr/>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pPr>
        <w:pStyle w:val="Style15"/>
        <w:numPr>
          <w:ilvl w:val="2"/>
          <w:numId w:val="1"/>
        </w:numPr>
        <w:tabs>
          <w:tab w:val="clear" w:pos="720"/>
        </w:tabs>
        <w:jc w:val="both"/>
        <w:rPr/>
      </w:pPr>
      <w:r>
        <w:rPr/>
        <w:t>прямой ущерб;</w:t>
      </w:r>
    </w:p>
    <w:p>
      <w:pPr>
        <w:pStyle w:val="Style15"/>
        <w:numPr>
          <w:ilvl w:val="2"/>
          <w:numId w:val="1"/>
        </w:numPr>
        <w:tabs>
          <w:tab w:val="clear" w:pos="720"/>
        </w:tabs>
        <w:jc w:val="both"/>
        <w:rPr/>
      </w:pPr>
      <w:r>
        <w:rPr/>
        <w:t>неполученные доходы.</w:t>
      </w:r>
    </w:p>
    <w:p>
      <w:pPr>
        <w:pStyle w:val="Style14"/>
        <w:numPr>
          <w:ilvl w:val="1"/>
          <w:numId w:val="1"/>
        </w:numPr>
        <w:spacing w:before="120" w:after="120"/>
        <w:jc w:val="both"/>
        <w:rPr/>
      </w:pPr>
      <w:r>
        <w:rPr/>
        <w:t>В случае,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25.13 от виновных лиц Общество вправе потребовать возмещения ущерба, причиненного такими действиями.</w:t>
      </w:r>
    </w:p>
    <w:p>
      <w:pPr>
        <w:pStyle w:val="Style14"/>
        <w:numPr>
          <w:ilvl w:val="1"/>
          <w:numId w:val="1"/>
        </w:numPr>
        <w:jc w:val="both"/>
        <w:rPr/>
      </w:pPr>
      <w:r>
        <w:rPr/>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pPr>
        <w:pStyle w:val="Style14"/>
        <w:numPr>
          <w:ilvl w:val="1"/>
          <w:numId w:val="1"/>
        </w:numPr>
        <w:jc w:val="both"/>
        <w:rPr/>
      </w:pPr>
      <w:r>
        <w:rPr/>
        <w:t>B случае, если действия лиц, несанкционированно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pPr>
        <w:pStyle w:val="Style14"/>
        <w:numPr>
          <w:ilvl w:val="1"/>
          <w:numId w:val="1"/>
        </w:numPr>
        <w:jc w:val="both"/>
        <w:rPr/>
      </w:pPr>
      <w:r>
        <w:rPr/>
        <w:t>Информацию o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pPr>
        <w:pStyle w:val="1"/>
        <w:numPr>
          <w:ilvl w:val="0"/>
          <w:numId w:val="1"/>
        </w:numPr>
        <w:rPr>
          <w:rFonts w:ascii="Times New Roman" w:hAnsi="Times New Roman" w:cs="Times New Roman"/>
          <w:caps/>
        </w:rPr>
      </w:pPr>
      <w:bookmarkStart w:id="30" w:name="_Toc243918586"/>
      <w:r>
        <w:rPr>
          <w:rFonts w:cs="Times New Roman" w:ascii="Times New Roman" w:hAnsi="Times New Roman"/>
          <w:caps/>
        </w:rPr>
        <w:t>Хранение документов и порядок предоставления информации</w:t>
      </w:r>
      <w:bookmarkEnd w:id="30"/>
    </w:p>
    <w:p>
      <w:pPr>
        <w:pStyle w:val="Style14"/>
        <w:numPr>
          <w:ilvl w:val="1"/>
          <w:numId w:val="1"/>
        </w:numPr>
        <w:jc w:val="both"/>
        <w:rPr/>
      </w:pPr>
      <w:r>
        <w:rPr/>
        <w:t>Общество обязано хранить по месту своего нахождения следующие документы:</w:t>
      </w:r>
    </w:p>
    <w:p>
      <w:pPr>
        <w:pStyle w:val="Style15"/>
        <w:numPr>
          <w:ilvl w:val="2"/>
          <w:numId w:val="1"/>
        </w:numPr>
        <w:tabs>
          <w:tab w:val="clear" w:pos="720"/>
        </w:tabs>
        <w:jc w:val="both"/>
        <w:rPr/>
      </w:pPr>
      <w:r>
        <w:rPr/>
        <w:t>Устав Общества;</w:t>
      </w:r>
    </w:p>
    <w:p>
      <w:pPr>
        <w:pStyle w:val="Style15"/>
        <w:numPr>
          <w:ilvl w:val="2"/>
          <w:numId w:val="1"/>
        </w:numPr>
        <w:tabs>
          <w:tab w:val="clear" w:pos="720"/>
        </w:tabs>
        <w:jc w:val="both"/>
        <w:rPr/>
      </w:pPr>
      <w:r>
        <w:rPr/>
        <w:t xml:space="preserve">договор об учреждении Общества; </w:t>
      </w:r>
    </w:p>
    <w:p>
      <w:pPr>
        <w:pStyle w:val="Style15"/>
        <w:numPr>
          <w:ilvl w:val="2"/>
          <w:numId w:val="1"/>
        </w:numPr>
        <w:tabs>
          <w:tab w:val="clear" w:pos="720"/>
        </w:tabs>
        <w:jc w:val="both"/>
        <w:rPr/>
      </w:pPr>
      <w:r>
        <w:rPr/>
        <w:t>список участников Общества;</w:t>
      </w:r>
    </w:p>
    <w:p>
      <w:pPr>
        <w:pStyle w:val="Style15"/>
        <w:numPr>
          <w:ilvl w:val="2"/>
          <w:numId w:val="1"/>
        </w:numPr>
        <w:tabs>
          <w:tab w:val="clear" w:pos="720"/>
        </w:tabs>
        <w:jc w:val="both"/>
        <w:rPr/>
      </w:pPr>
      <w:r>
        <w:rPr/>
        <w:t>списки аффилированных лиц Общества;</w:t>
      </w:r>
    </w:p>
    <w:p>
      <w:pPr>
        <w:pStyle w:val="Style15"/>
        <w:numPr>
          <w:ilvl w:val="2"/>
          <w:numId w:val="1"/>
        </w:numPr>
        <w:tabs>
          <w:tab w:val="clear" w:pos="720"/>
        </w:tabs>
        <w:jc w:val="both"/>
        <w:rPr/>
      </w:pPr>
      <w:r>
        <w:rPr/>
        <w:t xml:space="preserve">Свидетельство о государственной регистрации Общества; </w:t>
      </w:r>
    </w:p>
    <w:p>
      <w:pPr>
        <w:pStyle w:val="Style15"/>
        <w:numPr>
          <w:ilvl w:val="2"/>
          <w:numId w:val="1"/>
        </w:numPr>
        <w:tabs>
          <w:tab w:val="clear" w:pos="720"/>
        </w:tabs>
        <w:jc w:val="both"/>
        <w:rPr/>
      </w:pPr>
      <w:r>
        <w:rPr/>
        <w:t>Положения, регламентирующие деятельность Общества, иные внутренние документы;</w:t>
      </w:r>
    </w:p>
    <w:p>
      <w:pPr>
        <w:pStyle w:val="Style15"/>
        <w:numPr>
          <w:ilvl w:val="2"/>
          <w:numId w:val="1"/>
        </w:numPr>
        <w:tabs>
          <w:tab w:val="clear" w:pos="720"/>
        </w:tabs>
        <w:jc w:val="both"/>
        <w:rPr/>
      </w:pPr>
      <w:r>
        <w:rPr/>
        <w:t>Положения о филиалах и представительствах Общества;</w:t>
      </w:r>
    </w:p>
    <w:p>
      <w:pPr>
        <w:pStyle w:val="Style15"/>
        <w:numPr>
          <w:ilvl w:val="2"/>
          <w:numId w:val="1"/>
        </w:numPr>
        <w:tabs>
          <w:tab w:val="clear" w:pos="720"/>
        </w:tabs>
        <w:jc w:val="both"/>
        <w:rPr/>
      </w:pPr>
      <w:r>
        <w:rPr/>
        <w:t>Документы, подтверждающие право собственности, владения и распоряжения имуществом Общества;</w:t>
      </w:r>
    </w:p>
    <w:p>
      <w:pPr>
        <w:pStyle w:val="Style15"/>
        <w:numPr>
          <w:ilvl w:val="2"/>
          <w:numId w:val="1"/>
        </w:numPr>
        <w:tabs>
          <w:tab w:val="clear" w:pos="720"/>
        </w:tabs>
        <w:jc w:val="both"/>
        <w:rPr/>
      </w:pPr>
      <w:r>
        <w:rPr/>
        <w:t>Аудиторские заключения, а также заключения государственных и муниципальных органов финансового контроля;</w:t>
      </w:r>
    </w:p>
    <w:p>
      <w:pPr>
        <w:pStyle w:val="Style15"/>
        <w:numPr>
          <w:ilvl w:val="2"/>
          <w:numId w:val="1"/>
        </w:numPr>
        <w:tabs>
          <w:tab w:val="clear" w:pos="720"/>
        </w:tabs>
        <w:jc w:val="both"/>
        <w:rPr/>
      </w:pPr>
      <w:r>
        <w:rPr/>
        <w:t xml:space="preserve">Протоколы общих собраний участников Общества; </w:t>
      </w:r>
    </w:p>
    <w:p>
      <w:pPr>
        <w:pStyle w:val="Style15"/>
        <w:numPr>
          <w:ilvl w:val="2"/>
          <w:numId w:val="1"/>
        </w:numPr>
        <w:tabs>
          <w:tab w:val="clear" w:pos="720"/>
        </w:tabs>
        <w:jc w:val="both"/>
        <w:rPr/>
      </w:pPr>
      <w:r>
        <w:rPr/>
        <w:t>Приказы и распоряжения Исполнительного органа Общества;</w:t>
      </w:r>
    </w:p>
    <w:p>
      <w:pPr>
        <w:pStyle w:val="Style15"/>
        <w:numPr>
          <w:ilvl w:val="2"/>
          <w:numId w:val="1"/>
        </w:numPr>
        <w:tabs>
          <w:tab w:val="clear" w:pos="720"/>
        </w:tabs>
        <w:jc w:val="both"/>
        <w:rPr/>
      </w:pPr>
      <w:r>
        <w:rPr/>
        <w:t xml:space="preserve">Трудовые договоры с работниками Общества; </w:t>
      </w:r>
    </w:p>
    <w:p>
      <w:pPr>
        <w:pStyle w:val="Style15"/>
        <w:numPr>
          <w:ilvl w:val="2"/>
          <w:numId w:val="1"/>
        </w:numPr>
        <w:tabs>
          <w:tab w:val="clear" w:pos="720"/>
        </w:tabs>
        <w:jc w:val="both"/>
        <w:rPr/>
      </w:pPr>
      <w:r>
        <w:rPr/>
        <w:t>Переписку Общества;</w:t>
      </w:r>
    </w:p>
    <w:p>
      <w:pPr>
        <w:pStyle w:val="Style15"/>
        <w:numPr>
          <w:ilvl w:val="2"/>
          <w:numId w:val="1"/>
        </w:numPr>
        <w:tabs>
          <w:tab w:val="clear" w:pos="720"/>
        </w:tabs>
        <w:jc w:val="both"/>
        <w:rPr/>
      </w:pPr>
      <w:r>
        <w:rPr/>
        <w:t>Документы, связанные с эмиссией облигаций и иных ценных бумаг;</w:t>
      </w:r>
    </w:p>
    <w:p>
      <w:pPr>
        <w:pStyle w:val="Style15"/>
        <w:numPr>
          <w:ilvl w:val="2"/>
          <w:numId w:val="1"/>
        </w:numPr>
        <w:tabs>
          <w:tab w:val="clear" w:pos="720"/>
        </w:tabs>
        <w:jc w:val="both"/>
        <w:rPr/>
      </w:pPr>
      <w:r>
        <w:rPr/>
        <w:t>Договоры, заключенные Обществом;</w:t>
      </w:r>
    </w:p>
    <w:p>
      <w:pPr>
        <w:pStyle w:val="Style15"/>
        <w:numPr>
          <w:ilvl w:val="2"/>
          <w:numId w:val="1"/>
        </w:numPr>
        <w:tabs>
          <w:tab w:val="clear" w:pos="720"/>
        </w:tabs>
        <w:jc w:val="both"/>
        <w:rPr/>
      </w:pPr>
      <w:r>
        <w:rPr/>
        <w:t xml:space="preserve">Первичные документы бухгалтерского учета; </w:t>
      </w:r>
    </w:p>
    <w:p>
      <w:pPr>
        <w:pStyle w:val="Style15"/>
        <w:numPr>
          <w:ilvl w:val="2"/>
          <w:numId w:val="1"/>
        </w:numPr>
        <w:tabs>
          <w:tab w:val="clear" w:pos="720"/>
        </w:tabs>
        <w:jc w:val="both"/>
        <w:rPr/>
      </w:pPr>
      <w:r>
        <w:rPr/>
        <w:t xml:space="preserve">План счетов бухгалтерского учета; </w:t>
      </w:r>
    </w:p>
    <w:p>
      <w:pPr>
        <w:pStyle w:val="Style15"/>
        <w:numPr>
          <w:ilvl w:val="2"/>
          <w:numId w:val="1"/>
        </w:numPr>
        <w:tabs>
          <w:tab w:val="clear" w:pos="720"/>
        </w:tabs>
        <w:jc w:val="both"/>
        <w:rPr/>
      </w:pPr>
      <w:r>
        <w:rPr/>
        <w:t xml:space="preserve">Регистры бухгалтерского учета; </w:t>
      </w:r>
    </w:p>
    <w:p>
      <w:pPr>
        <w:pStyle w:val="Style15"/>
        <w:numPr>
          <w:ilvl w:val="2"/>
          <w:numId w:val="1"/>
        </w:numPr>
        <w:tabs>
          <w:tab w:val="clear" w:pos="720"/>
        </w:tabs>
        <w:jc w:val="both"/>
        <w:rPr/>
      </w:pPr>
      <w:r>
        <w:rPr/>
        <w:t xml:space="preserve">Бухгалтерскую и налоговую отчетность; </w:t>
      </w:r>
    </w:p>
    <w:p>
      <w:pPr>
        <w:pStyle w:val="Style15"/>
        <w:numPr>
          <w:ilvl w:val="2"/>
          <w:numId w:val="1"/>
        </w:numPr>
        <w:tabs>
          <w:tab w:val="clear" w:pos="720"/>
        </w:tabs>
        <w:jc w:val="both"/>
        <w:rPr/>
      </w:pPr>
      <w:r>
        <w:rPr/>
        <w:t>Иные документы, которые Общество обязано хранить соответствии с действующим законодательством.</w:t>
      </w:r>
    </w:p>
    <w:p>
      <w:pPr>
        <w:pStyle w:val="Style14"/>
        <w:numPr>
          <w:ilvl w:val="1"/>
          <w:numId w:val="1"/>
        </w:numPr>
        <w:spacing w:before="120" w:after="120"/>
        <w:jc w:val="both"/>
        <w:rPr/>
      </w:pPr>
      <w:r>
        <w:rPr/>
        <w:t xml:space="preserve">Документы, содержащие коммерческую  тайну Общества, хранятся в местах, исключающих возможность доступа к ним посторонних лиц (сейфы, нecгоpaемыe шкафы с надежными замками, закрытые помещения, ключи от котоpыx не могут быть выданы посторонним лицам). </w:t>
      </w:r>
    </w:p>
    <w:p>
      <w:pPr>
        <w:pStyle w:val="Style14"/>
        <w:numPr>
          <w:ilvl w:val="1"/>
          <w:numId w:val="1"/>
        </w:numPr>
        <w:jc w:val="both"/>
        <w:rPr/>
      </w:pPr>
      <w:r>
        <w:rPr/>
        <w:t>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Росархивом 6 октября 2000 г.</w:t>
      </w:r>
    </w:p>
    <w:p>
      <w:pPr>
        <w:pStyle w:val="Style14"/>
        <w:numPr>
          <w:ilvl w:val="1"/>
          <w:numId w:val="1"/>
        </w:numPr>
        <w:jc w:val="both"/>
        <w:rPr/>
      </w:pPr>
      <w:r>
        <w:rPr/>
        <w:t>Общество по требованию участника Общества обязано обеспечить ему доступ к документам, предусмотренным пунктами 1 и 3 ст.50 ФЗ «Об обществах с ограниченной ответственностью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pPr>
        <w:pStyle w:val="1"/>
        <w:numPr>
          <w:ilvl w:val="0"/>
          <w:numId w:val="1"/>
        </w:numPr>
        <w:rPr>
          <w:rFonts w:ascii="Times New Roman" w:hAnsi="Times New Roman" w:cs="Times New Roman"/>
          <w:caps/>
        </w:rPr>
      </w:pPr>
      <w:bookmarkStart w:id="31" w:name="_Toc243918587"/>
      <w:r>
        <w:rPr>
          <w:rFonts w:cs="Times New Roman" w:ascii="Times New Roman" w:hAnsi="Times New Roman"/>
          <w:caps/>
        </w:rPr>
        <w:t>ВЕДЕНИЕ СПИСКА УЧАСТНИКОВ ОБЩЕСТВА</w:t>
      </w:r>
      <w:bookmarkEnd w:id="31"/>
    </w:p>
    <w:p>
      <w:pPr>
        <w:pStyle w:val="Style23"/>
        <w:tabs>
          <w:tab w:val="clear" w:pos="900"/>
          <w:tab w:val="left" w:pos="0" w:leader="none"/>
          <w:tab w:val="left" w:pos="720" w:leader="none"/>
        </w:tabs>
        <w:jc w:val="center"/>
        <w:rPr>
          <w:b/>
          <w:b/>
          <w:bCs/>
          <w:sz w:val="22"/>
          <w:szCs w:val="22"/>
        </w:rPr>
      </w:pPr>
      <w:r>
        <w:rPr>
          <w:b/>
          <w:bCs/>
          <w:sz w:val="22"/>
          <w:szCs w:val="22"/>
        </w:rPr>
      </w:r>
    </w:p>
    <w:p>
      <w:pPr>
        <w:pStyle w:val="Style14"/>
        <w:numPr>
          <w:ilvl w:val="1"/>
          <w:numId w:val="1"/>
        </w:numPr>
        <w:jc w:val="both"/>
        <w:rPr/>
      </w:pPr>
      <w:r>
        <w:rP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pPr>
        <w:pStyle w:val="Style14"/>
        <w:numPr>
          <w:ilvl w:val="1"/>
          <w:numId w:val="1"/>
        </w:numPr>
        <w:jc w:val="both"/>
        <w:rPr/>
      </w:pPr>
      <w:r>
        <w:rPr/>
        <w:t>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pPr>
        <w:pStyle w:val="Style14"/>
        <w:numPr>
          <w:ilvl w:val="1"/>
          <w:numId w:val="1"/>
        </w:numPr>
        <w:jc w:val="both"/>
        <w:rPr/>
      </w:pPr>
      <w:r>
        <w:rP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pPr>
        <w:pStyle w:val="Style14"/>
        <w:numPr>
          <w:ilvl w:val="1"/>
          <w:numId w:val="1"/>
        </w:numPr>
        <w:jc w:val="both"/>
        <w:rPr/>
      </w:pPr>
      <w:r>
        <w:rPr/>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pPr>
        <w:pStyle w:val="1"/>
        <w:numPr>
          <w:ilvl w:val="0"/>
          <w:numId w:val="1"/>
        </w:numPr>
        <w:rPr>
          <w:rFonts w:ascii="Times New Roman" w:hAnsi="Times New Roman" w:cs="Times New Roman"/>
          <w:caps/>
        </w:rPr>
      </w:pPr>
      <w:bookmarkStart w:id="32" w:name="_Toc243918588"/>
      <w:r>
        <w:rPr>
          <w:rFonts w:cs="Times New Roman" w:ascii="Times New Roman" w:hAnsi="Times New Roman"/>
          <w:caps/>
        </w:rPr>
        <w:t>Реорганизация и ликвидация Общества</w:t>
      </w:r>
      <w:bookmarkEnd w:id="32"/>
    </w:p>
    <w:p>
      <w:pPr>
        <w:pStyle w:val="Style14"/>
        <w:numPr>
          <w:ilvl w:val="1"/>
          <w:numId w:val="1"/>
        </w:numPr>
        <w:jc w:val="both"/>
        <w:rPr/>
      </w:pPr>
      <w:r>
        <w:rPr/>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pPr>
        <w:pStyle w:val="Style14"/>
        <w:numPr>
          <w:ilvl w:val="1"/>
          <w:numId w:val="1"/>
        </w:numPr>
        <w:jc w:val="both"/>
        <w:rPr/>
      </w:pPr>
      <w:r>
        <w:rPr/>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pPr>
        <w:pStyle w:val="Style14"/>
        <w:numPr>
          <w:ilvl w:val="1"/>
          <w:numId w:val="1"/>
        </w:numPr>
        <w:jc w:val="both"/>
        <w:rPr/>
      </w:pPr>
      <w:r>
        <w:rPr/>
        <w:t>Реорганизация Общества осуществляется в порядке, определяемом действующим законодательством РФ.</w:t>
      </w:r>
    </w:p>
    <w:p>
      <w:pPr>
        <w:pStyle w:val="Style14"/>
        <w:numPr>
          <w:ilvl w:val="1"/>
          <w:numId w:val="1"/>
        </w:numPr>
        <w:jc w:val="both"/>
        <w:rPr/>
      </w:pPr>
      <w:r>
        <w:rPr/>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pPr>
        <w:pStyle w:val="Style14"/>
        <w:numPr>
          <w:ilvl w:val="1"/>
          <w:numId w:val="1"/>
        </w:numPr>
        <w:jc w:val="both"/>
        <w:rPr/>
      </w:pPr>
      <w:r>
        <w:rPr/>
        <w:t>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pPr>
        <w:pStyle w:val="Style14"/>
        <w:numPr>
          <w:ilvl w:val="1"/>
          <w:numId w:val="1"/>
        </w:numPr>
        <w:jc w:val="both"/>
        <w:rPr/>
      </w:pPr>
      <w:r>
        <w:rPr/>
        <w:t>Общество может быть ликвидировано добровольно либо по решению суда по основаниям, предусмотренным Гражданским кодексом РФ.</w:t>
      </w:r>
    </w:p>
    <w:p>
      <w:pPr>
        <w:pStyle w:val="Style14"/>
        <w:numPr>
          <w:ilvl w:val="1"/>
          <w:numId w:val="1"/>
        </w:numPr>
        <w:jc w:val="both"/>
        <w:rPr/>
      </w:pPr>
      <w:r>
        <w:rPr/>
        <w:t>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 учетом положений настоящего Устава.</w:t>
      </w:r>
    </w:p>
    <w:p>
      <w:pPr>
        <w:pStyle w:val="Style14"/>
        <w:numPr>
          <w:ilvl w:val="1"/>
          <w:numId w:val="1"/>
        </w:numPr>
        <w:jc w:val="both"/>
        <w:rPr/>
      </w:pPr>
      <w:r>
        <w:rPr/>
        <w:t>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pPr>
        <w:pStyle w:val="Style14"/>
        <w:numPr>
          <w:ilvl w:val="1"/>
          <w:numId w:val="1"/>
        </w:numPr>
        <w:jc w:val="both"/>
        <w:rPr/>
      </w:pPr>
      <w:r>
        <w:rPr/>
        <w:t>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pPr>
        <w:pStyle w:val="Style14"/>
        <w:numPr>
          <w:ilvl w:val="1"/>
          <w:numId w:val="1"/>
        </w:numPr>
        <w:jc w:val="both"/>
        <w:rPr/>
      </w:pPr>
      <w:r>
        <w:rPr/>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pPr>
        <w:pStyle w:val="Style14"/>
        <w:numPr>
          <w:ilvl w:val="1"/>
          <w:numId w:val="1"/>
        </w:numPr>
        <w:jc w:val="both"/>
        <w:rPr/>
      </w:pPr>
      <w:r>
        <w:rPr/>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tab/>
        <w:t>заседании</w:t>
        <w:tab/>
        <w:t>ликвидационной комиссии подписываются председателем и секретарем.</w:t>
      </w:r>
    </w:p>
    <w:p>
      <w:pPr>
        <w:pStyle w:val="Style14"/>
        <w:numPr>
          <w:ilvl w:val="1"/>
          <w:numId w:val="1"/>
        </w:numPr>
        <w:jc w:val="both"/>
        <w:rPr/>
      </w:pPr>
      <w:r>
        <w:rP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pPr>
        <w:pStyle w:val="Style14"/>
        <w:numPr>
          <w:ilvl w:val="1"/>
          <w:numId w:val="1"/>
        </w:numPr>
        <w:jc w:val="both"/>
        <w:rPr/>
      </w:pPr>
      <w:r>
        <w:rPr/>
        <w:t>Имущество Общества реализуется по решению ликвидационной комиссии.</w:t>
      </w:r>
    </w:p>
    <w:p>
      <w:pPr>
        <w:pStyle w:val="Style14"/>
        <w:numPr>
          <w:ilvl w:val="1"/>
          <w:numId w:val="1"/>
        </w:numPr>
        <w:jc w:val="both"/>
        <w:rPr/>
      </w:pPr>
      <w:r>
        <w:rPr/>
        <w:t>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капитале.</w:t>
      </w:r>
    </w:p>
    <w:p>
      <w:pPr>
        <w:pStyle w:val="Style14"/>
        <w:numPr>
          <w:ilvl w:val="1"/>
          <w:numId w:val="1"/>
        </w:numPr>
        <w:jc w:val="both"/>
        <w:rPr/>
      </w:pPr>
      <w:r>
        <w:rPr/>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pPr>
        <w:pStyle w:val="Style14"/>
        <w:numPr>
          <w:ilvl w:val="1"/>
          <w:numId w:val="1"/>
        </w:numPr>
        <w:jc w:val="both"/>
        <w:rPr/>
      </w:pPr>
      <w:r>
        <w:rPr/>
        <w:t>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pPr>
        <w:pStyle w:val="Style14"/>
        <w:numPr>
          <w:ilvl w:val="1"/>
          <w:numId w:val="1"/>
        </w:numPr>
        <w:jc w:val="both"/>
        <w:rPr/>
      </w:pPr>
      <w:r>
        <w:rPr/>
        <w:t>Полномочия ликвидационной комиссии прекращаются с момента завершения ликвидации Общества.</w:t>
      </w:r>
    </w:p>
    <w:p>
      <w:pPr>
        <w:pStyle w:val="1"/>
        <w:numPr>
          <w:ilvl w:val="0"/>
          <w:numId w:val="1"/>
        </w:numPr>
        <w:rPr>
          <w:rFonts w:ascii="Times New Roman" w:hAnsi="Times New Roman" w:cs="Times New Roman"/>
          <w:caps/>
        </w:rPr>
      </w:pPr>
      <w:bookmarkStart w:id="33" w:name="_Toc243918589"/>
      <w:r>
        <w:rPr>
          <w:rFonts w:cs="Times New Roman" w:ascii="Times New Roman" w:hAnsi="Times New Roman"/>
          <w:caps/>
        </w:rPr>
        <w:t>Заключительные положения</w:t>
      </w:r>
      <w:bookmarkEnd w:id="33"/>
    </w:p>
    <w:p>
      <w:pPr>
        <w:pStyle w:val="Style14"/>
        <w:numPr>
          <w:ilvl w:val="1"/>
          <w:numId w:val="1"/>
        </w:numPr>
        <w:jc w:val="both"/>
        <w:rPr/>
      </w:pPr>
      <w:r>
        <w:rPr/>
        <w:t>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Pr>
          <w:rFonts w:cs="Arial" w:ascii="Arial" w:hAnsi="Arial"/>
          <w:sz w:val="16"/>
          <w:szCs w:val="16"/>
        </w:rPr>
        <w:t xml:space="preserve"> </w:t>
      </w:r>
    </w:p>
    <w:p>
      <w:pPr>
        <w:pStyle w:val="Style14"/>
        <w:numPr>
          <w:ilvl w:val="1"/>
          <w:numId w:val="1"/>
        </w:numPr>
        <w:jc w:val="both"/>
        <w:rPr/>
      </w:pPr>
      <w:r>
        <w:rPr/>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
    <w:p>
      <w:pPr>
        <w:pStyle w:val="Style14"/>
        <w:spacing w:before="0" w:after="120"/>
        <w:ind w:left="0" w:hanging="0"/>
        <w:jc w:val="both"/>
        <w:rPr/>
      </w:pPr>
      <w:r>
        <w:rPr/>
      </w:r>
    </w:p>
    <w:sectPr>
      <w:footerReference w:type="even" r:id="rId2"/>
      <w:footerReference w:type="default" r:id="rId3"/>
      <w:type w:val="nextPage"/>
      <w:pgSz w:w="11906" w:h="16443"/>
      <w:pgMar w:left="1134" w:right="567" w:header="0" w:top="567" w:footer="72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Liberation Sans">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tabs>
        <w:tab w:val="clear" w:pos="4320"/>
        <w:tab w:val="clear" w:pos="8640"/>
        <w:tab w:val="center" w:pos="4677" w:leader="none"/>
        <w:tab w:val="right" w:pos="9355" w:leader="none"/>
      </w:tabs>
      <w:jc w:val="center"/>
      <w:rPr>
        <w:sz w:val="20"/>
        <w:szCs w:val="20"/>
      </w:rPr>
    </w:pPr>
    <w:r>
      <w:rPr>
        <w:sz w:val="20"/>
        <w:szCs w:val="20"/>
      </w:rPr>
      <w:t xml:space="preserve">стр. </w:t>
    </w:r>
    <w:r>
      <w:rPr>
        <w:sz w:val="20"/>
        <w:szCs w:val="20"/>
      </w:rPr>
      <w:fldChar w:fldCharType="begin"/>
    </w:r>
    <w:r>
      <w:rPr>
        <w:sz w:val="20"/>
        <w:szCs w:val="20"/>
      </w:rPr>
      <w:instrText> PAGE </w:instrText>
    </w:r>
    <w:r>
      <w:rPr>
        <w:sz w:val="20"/>
        <w:szCs w:val="20"/>
      </w:rPr>
      <w:fldChar w:fldCharType="separate"/>
    </w:r>
    <w:r>
      <w:rPr>
        <w:sz w:val="20"/>
        <w:szCs w:val="20"/>
      </w:rPr>
      <w:t>22</w:t>
    </w:r>
    <w:r>
      <w:rPr>
        <w:sz w:val="20"/>
        <w:szCs w:val="20"/>
      </w:rPr>
      <w:fldChar w:fldCharType="end"/>
    </w:r>
    <w:r>
      <w:rPr>
        <w:sz w:val="20"/>
        <w:szCs w:val="20"/>
      </w:rPr>
      <w:t xml:space="preserve"> из </w:t>
    </w:r>
    <w:r>
      <w:rPr>
        <w:sz w:val="20"/>
        <w:szCs w:val="20"/>
      </w:rPr>
      <w:fldChar w:fldCharType="begin"/>
    </w:r>
    <w:r>
      <w:rPr>
        <w:sz w:val="20"/>
        <w:szCs w:val="20"/>
      </w:rPr>
      <w:instrText> NUMPAGES </w:instrText>
    </w:r>
    <w:r>
      <w:rPr>
        <w:sz w:val="20"/>
        <w:szCs w:val="20"/>
      </w:rPr>
      <w:fldChar w:fldCharType="separate"/>
    </w:r>
    <w:r>
      <w:rPr>
        <w:sz w:val="20"/>
        <w:szCs w:val="20"/>
      </w:rPr>
      <w:t>22</w:t>
    </w:r>
    <w:r>
      <w:rPr>
        <w:sz w:val="20"/>
        <w:szCs w:val="2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tabs>
        <w:tab w:val="clear" w:pos="4320"/>
        <w:tab w:val="clear" w:pos="8640"/>
        <w:tab w:val="center" w:pos="4677" w:leader="none"/>
        <w:tab w:val="right" w:pos="9355" w:leader="none"/>
      </w:tabs>
      <w:jc w:val="center"/>
      <w:rPr>
        <w:sz w:val="20"/>
        <w:szCs w:val="20"/>
      </w:rPr>
    </w:pPr>
    <w:r>
      <w:rPr>
        <w:sz w:val="20"/>
        <w:szCs w:val="20"/>
      </w:rPr>
      <w:t xml:space="preserve">стр. </w:t>
    </w:r>
    <w:r>
      <w:rPr>
        <w:sz w:val="20"/>
        <w:szCs w:val="20"/>
      </w:rPr>
      <w:fldChar w:fldCharType="begin"/>
    </w:r>
    <w:r>
      <w:rPr>
        <w:sz w:val="20"/>
        <w:szCs w:val="20"/>
      </w:rPr>
      <w:instrText> PAGE </w:instrText>
    </w:r>
    <w:r>
      <w:rPr>
        <w:sz w:val="20"/>
        <w:szCs w:val="20"/>
      </w:rPr>
      <w:fldChar w:fldCharType="separate"/>
    </w:r>
    <w:r>
      <w:rPr>
        <w:sz w:val="20"/>
        <w:szCs w:val="20"/>
      </w:rPr>
      <w:t>19</w:t>
    </w:r>
    <w:r>
      <w:rPr>
        <w:sz w:val="20"/>
        <w:szCs w:val="20"/>
      </w:rPr>
      <w:fldChar w:fldCharType="end"/>
    </w:r>
    <w:r>
      <w:rPr>
        <w:sz w:val="20"/>
        <w:szCs w:val="20"/>
      </w:rPr>
      <w:t xml:space="preserve"> из </w:t>
    </w:r>
    <w:r>
      <w:rPr>
        <w:sz w:val="20"/>
        <w:szCs w:val="20"/>
      </w:rPr>
      <w:fldChar w:fldCharType="begin"/>
    </w:r>
    <w:r>
      <w:rPr>
        <w:sz w:val="20"/>
        <w:szCs w:val="20"/>
      </w:rPr>
      <w:instrText> NUMPAGES </w:instrText>
    </w:r>
    <w:r>
      <w:rPr>
        <w:sz w:val="20"/>
        <w:szCs w:val="20"/>
      </w:rPr>
      <w:fldChar w:fldCharType="separate"/>
    </w:r>
    <w:r>
      <w:rPr>
        <w:sz w:val="20"/>
        <w:szCs w:val="20"/>
      </w:rPr>
      <w:t>22</w:t>
    </w:r>
    <w:r>
      <w:rPr>
        <w:sz w:val="20"/>
        <w:szCs w:val="2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Статья %1. "/>
      <w:lvlJc w:val="left"/>
      <w:pPr>
        <w:tabs>
          <w:tab w:val="num" w:pos="0"/>
        </w:tabs>
        <w:ind w:left="0" w:hanging="0"/>
      </w:pPr>
      <w:rPr>
        <w:rFonts w:cs="Times New Roman"/>
      </w:rPr>
    </w:lvl>
    <w:lvl w:ilvl="1">
      <w:start w:val="1"/>
      <w:numFmt w:val="decimal"/>
      <w:suff w:val="space"/>
      <w:lvlText w:val="%1.%2"/>
      <w:lvlJc w:val="left"/>
      <w:pPr>
        <w:tabs>
          <w:tab w:val="num" w:pos="0"/>
        </w:tabs>
        <w:ind w:left="567" w:hanging="567"/>
      </w:pPr>
      <w:rPr>
        <w:rFonts w:cs="Courier New"/>
      </w:rPr>
    </w:lvl>
    <w:lvl w:ilvl="2">
      <w:start w:val="1"/>
      <w:numFmt w:val="bullet"/>
      <w:suff w:val="space"/>
      <w:lvlText w:val=""/>
      <w:lvlJc w:val="left"/>
      <w:pPr>
        <w:tabs>
          <w:tab w:val="num" w:pos="0"/>
        </w:tabs>
        <w:ind w:left="720" w:hanging="432"/>
      </w:pPr>
      <w:rPr>
        <w:rFonts w:ascii="Symbol" w:hAnsi="Symbol" w:cs="Symbol" w:hint="default"/>
      </w:rPr>
    </w:lvl>
    <w:lvl w:ilvl="3">
      <w:start w:val="1"/>
      <w:numFmt w:val="lowerRoman"/>
      <w:suff w:val="space"/>
      <w:lvlText w:val="(%4)"/>
      <w:lvlJc w:val="right"/>
      <w:pPr>
        <w:tabs>
          <w:tab w:val="num" w:pos="0"/>
        </w:tabs>
        <w:ind w:left="864" w:hanging="144"/>
      </w:pPr>
      <w:rPr>
        <w:rFonts w:cs="Symbol"/>
      </w:rPr>
    </w:lvl>
    <w:lvl w:ilvl="4">
      <w:start w:val="1"/>
      <w:numFmt w:val="decimal"/>
      <w:suff w:val="space"/>
      <w:lvlText w:val="%5)"/>
      <w:lvlJc w:val="left"/>
      <w:pPr>
        <w:tabs>
          <w:tab w:val="num" w:pos="0"/>
        </w:tabs>
        <w:ind w:left="1008" w:hanging="432"/>
      </w:pPr>
      <w:rPr>
        <w:rFonts w:cs="Symbol"/>
      </w:rPr>
    </w:lvl>
    <w:lvl w:ilvl="5">
      <w:start w:val="1"/>
      <w:numFmt w:val="lowerLetter"/>
      <w:suff w:val="space"/>
      <w:lvlText w:val="%6)"/>
      <w:lvlJc w:val="left"/>
      <w:pPr>
        <w:tabs>
          <w:tab w:val="num" w:pos="0"/>
        </w:tabs>
        <w:ind w:left="1152" w:hanging="432"/>
      </w:pPr>
      <w:rPr>
        <w:rFonts w:cs="Wingdings"/>
      </w:rPr>
    </w:lvl>
    <w:lvl w:ilvl="6">
      <w:start w:val="1"/>
      <w:numFmt w:val="lowerRoman"/>
      <w:suff w:val="space"/>
      <w:lvlText w:val="%7)"/>
      <w:lvlJc w:val="right"/>
      <w:pPr>
        <w:tabs>
          <w:tab w:val="num" w:pos="0"/>
        </w:tabs>
        <w:ind w:left="1296" w:hanging="288"/>
      </w:pPr>
      <w:rPr>
        <w:rFonts w:cs="Symbol"/>
      </w:rPr>
    </w:lvl>
    <w:lvl w:ilvl="7">
      <w:start w:val="1"/>
      <w:numFmt w:val="lowerLetter"/>
      <w:suff w:val="space"/>
      <w:lvlText w:val="%8."/>
      <w:lvlJc w:val="left"/>
      <w:pPr>
        <w:tabs>
          <w:tab w:val="num" w:pos="0"/>
        </w:tabs>
        <w:ind w:left="1440" w:hanging="432"/>
      </w:pPr>
      <w:rPr>
        <w:rFonts w:cs="Courier New"/>
      </w:rPr>
    </w:lvl>
    <w:lvl w:ilvl="8">
      <w:start w:val="1"/>
      <w:numFmt w:val="lowerRoman"/>
      <w:suff w:val="space"/>
      <w:lvlText w:val="%9."/>
      <w:lvlJc w:val="right"/>
      <w:pPr>
        <w:tabs>
          <w:tab w:val="num" w:pos="0"/>
        </w:tabs>
        <w:ind w:left="1584" w:hanging="144"/>
      </w:pPr>
      <w:rPr>
        <w:rFonts w:cs="Wingdings"/>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1298"/>
  <w:autoHyphenation w:val="true"/>
  <w:doNotHyphenateCaps/>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suppressAutoHyphens w:val="true"/>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9"/>
    <w:qFormat/>
    <w:pPr>
      <w:keepNext w:val="true"/>
      <w:spacing w:before="240" w:after="60"/>
      <w:outlineLvl w:val="0"/>
    </w:pPr>
    <w:rPr>
      <w:rFonts w:ascii="Arial" w:hAnsi="Arial" w:cs="Arial"/>
      <w:b/>
      <w:bCs/>
      <w:sz w:val="32"/>
      <w:szCs w:val="32"/>
    </w:rPr>
  </w:style>
  <w:style w:type="paragraph" w:styleId="2">
    <w:name w:val="Heading 2"/>
    <w:basedOn w:val="Normal"/>
    <w:next w:val="Normal"/>
    <w:link w:val="20"/>
    <w:uiPriority w:val="99"/>
    <w:qFormat/>
    <w:pPr>
      <w:keepNext w:val="true"/>
      <w:outlineLvl w:val="1"/>
    </w:pPr>
    <w:rPr>
      <w:sz w:val="96"/>
      <w:szCs w:val="96"/>
    </w:rPr>
  </w:style>
  <w:style w:type="paragraph" w:styleId="3">
    <w:name w:val="Heading 3"/>
    <w:basedOn w:val="Normal"/>
    <w:next w:val="Normal"/>
    <w:link w:val="30"/>
    <w:uiPriority w:val="99"/>
    <w:qFormat/>
    <w:pPr>
      <w:keepNext w:val="true"/>
      <w:spacing w:before="240" w:after="60"/>
      <w:outlineLvl w:val="2"/>
    </w:pPr>
    <w:rPr>
      <w:rFonts w:ascii="Arial" w:hAnsi="Arial" w:cs="Arial"/>
      <w:b/>
      <w:bCs/>
      <w:sz w:val="26"/>
      <w:szCs w:val="26"/>
    </w:rPr>
  </w:style>
  <w:style w:type="paragraph" w:styleId="4">
    <w:name w:val="Heading 4"/>
    <w:basedOn w:val="Normal"/>
    <w:next w:val="Normal"/>
    <w:link w:val="40"/>
    <w:uiPriority w:val="99"/>
    <w:qFormat/>
    <w:pPr>
      <w:keepNext w:val="true"/>
      <w:tabs>
        <w:tab w:val="clear" w:pos="1298"/>
        <w:tab w:val="left" w:pos="864" w:leader="none"/>
      </w:tabs>
      <w:spacing w:before="240" w:after="60"/>
      <w:ind w:left="864" w:hanging="144"/>
      <w:outlineLvl w:val="3"/>
    </w:pPr>
    <w:rPr>
      <w:b/>
      <w:bCs/>
      <w:sz w:val="28"/>
      <w:szCs w:val="28"/>
    </w:rPr>
  </w:style>
  <w:style w:type="paragraph" w:styleId="5">
    <w:name w:val="Heading 5"/>
    <w:basedOn w:val="Normal"/>
    <w:next w:val="Normal"/>
    <w:link w:val="50"/>
    <w:uiPriority w:val="99"/>
    <w:qFormat/>
    <w:pPr>
      <w:tabs>
        <w:tab w:val="clear" w:pos="1298"/>
        <w:tab w:val="left" w:pos="1008" w:leader="none"/>
      </w:tabs>
      <w:spacing w:before="240" w:after="60"/>
      <w:ind w:left="1008" w:hanging="432"/>
      <w:outlineLvl w:val="4"/>
    </w:pPr>
    <w:rPr>
      <w:b/>
      <w:bCs/>
      <w:i/>
      <w:iCs/>
      <w:sz w:val="26"/>
      <w:szCs w:val="26"/>
    </w:rPr>
  </w:style>
  <w:style w:type="paragraph" w:styleId="6">
    <w:name w:val="Heading 6"/>
    <w:basedOn w:val="Normal"/>
    <w:next w:val="Normal"/>
    <w:link w:val="60"/>
    <w:uiPriority w:val="99"/>
    <w:qFormat/>
    <w:pPr>
      <w:tabs>
        <w:tab w:val="clear" w:pos="1298"/>
        <w:tab w:val="left" w:pos="1152" w:leader="none"/>
      </w:tabs>
      <w:spacing w:before="240" w:after="60"/>
      <w:ind w:left="1152" w:hanging="432"/>
      <w:outlineLvl w:val="5"/>
    </w:pPr>
    <w:rPr>
      <w:b/>
      <w:bCs/>
      <w:sz w:val="22"/>
      <w:szCs w:val="22"/>
    </w:rPr>
  </w:style>
  <w:style w:type="paragraph" w:styleId="7">
    <w:name w:val="Heading 7"/>
    <w:basedOn w:val="Normal"/>
    <w:next w:val="Normal"/>
    <w:link w:val="70"/>
    <w:uiPriority w:val="99"/>
    <w:qFormat/>
    <w:pPr>
      <w:tabs>
        <w:tab w:val="clear" w:pos="1298"/>
        <w:tab w:val="left" w:pos="1296" w:leader="none"/>
      </w:tabs>
      <w:spacing w:before="240" w:after="60"/>
      <w:ind w:left="1296" w:hanging="288"/>
      <w:outlineLvl w:val="6"/>
    </w:pPr>
    <w:rPr/>
  </w:style>
  <w:style w:type="paragraph" w:styleId="8">
    <w:name w:val="Heading 8"/>
    <w:basedOn w:val="Normal"/>
    <w:next w:val="Normal"/>
    <w:link w:val="80"/>
    <w:uiPriority w:val="99"/>
    <w:qFormat/>
    <w:pPr>
      <w:tabs>
        <w:tab w:val="clear" w:pos="1298"/>
        <w:tab w:val="left" w:pos="1440" w:leader="none"/>
      </w:tabs>
      <w:spacing w:before="240" w:after="60"/>
      <w:ind w:left="1440" w:hanging="432"/>
      <w:outlineLvl w:val="7"/>
    </w:pPr>
    <w:rPr>
      <w:i/>
      <w:iCs/>
    </w:rPr>
  </w:style>
  <w:style w:type="paragraph" w:styleId="9">
    <w:name w:val="Heading 9"/>
    <w:basedOn w:val="Normal"/>
    <w:next w:val="Normal"/>
    <w:link w:val="90"/>
    <w:uiPriority w:val="99"/>
    <w:qFormat/>
    <w:pPr>
      <w:tabs>
        <w:tab w:val="clear" w:pos="1298"/>
        <w:tab w:val="left" w:pos="1584" w:leader="none"/>
      </w:tabs>
      <w:spacing w:before="240" w:after="60"/>
      <w:ind w:left="1584" w:hanging="144"/>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Pr>
      <w:rFonts w:ascii="Cambria" w:hAnsi="Cambria" w:cs="Cambria"/>
      <w:b/>
      <w:bCs/>
      <w:kern w:val="2"/>
      <w:sz w:val="32"/>
      <w:szCs w:val="32"/>
    </w:rPr>
  </w:style>
  <w:style w:type="character" w:styleId="21" w:customStyle="1">
    <w:name w:val="Заголовок 2 Знак"/>
    <w:basedOn w:val="DefaultParagraphFont"/>
    <w:link w:val="2"/>
    <w:uiPriority w:val="99"/>
    <w:semiHidden/>
    <w:qFormat/>
    <w:locked/>
    <w:rPr>
      <w:rFonts w:ascii="Cambria" w:hAnsi="Cambria" w:cs="Cambria"/>
      <w:b/>
      <w:bCs/>
      <w:i/>
      <w:iCs/>
      <w:sz w:val="28"/>
      <w:szCs w:val="28"/>
    </w:rPr>
  </w:style>
  <w:style w:type="character" w:styleId="31" w:customStyle="1">
    <w:name w:val="Заголовок 3 Знак"/>
    <w:basedOn w:val="DefaultParagraphFont"/>
    <w:link w:val="3"/>
    <w:uiPriority w:val="99"/>
    <w:semiHidden/>
    <w:qFormat/>
    <w:locked/>
    <w:rPr>
      <w:rFonts w:ascii="Cambria" w:hAnsi="Cambria" w:cs="Cambria"/>
      <w:b/>
      <w:bCs/>
      <w:sz w:val="26"/>
      <w:szCs w:val="26"/>
    </w:rPr>
  </w:style>
  <w:style w:type="character" w:styleId="41" w:customStyle="1">
    <w:name w:val="Заголовок 4 Знак"/>
    <w:basedOn w:val="DefaultParagraphFont"/>
    <w:link w:val="4"/>
    <w:uiPriority w:val="99"/>
    <w:semiHidden/>
    <w:qFormat/>
    <w:locked/>
    <w:rPr>
      <w:rFonts w:ascii="Calibri" w:hAnsi="Calibri" w:cs="Calibri"/>
      <w:b/>
      <w:bCs/>
      <w:sz w:val="28"/>
      <w:szCs w:val="28"/>
    </w:rPr>
  </w:style>
  <w:style w:type="character" w:styleId="51" w:customStyle="1">
    <w:name w:val="Заголовок 5 Знак"/>
    <w:basedOn w:val="DefaultParagraphFont"/>
    <w:link w:val="5"/>
    <w:uiPriority w:val="99"/>
    <w:semiHidden/>
    <w:qFormat/>
    <w:locked/>
    <w:rPr>
      <w:rFonts w:ascii="Calibri" w:hAnsi="Calibri" w:cs="Calibri"/>
      <w:b/>
      <w:bCs/>
      <w:i/>
      <w:iCs/>
      <w:sz w:val="26"/>
      <w:szCs w:val="26"/>
    </w:rPr>
  </w:style>
  <w:style w:type="character" w:styleId="61" w:customStyle="1">
    <w:name w:val="Заголовок 6 Знак"/>
    <w:basedOn w:val="DefaultParagraphFont"/>
    <w:link w:val="6"/>
    <w:uiPriority w:val="99"/>
    <w:semiHidden/>
    <w:qFormat/>
    <w:locked/>
    <w:rPr>
      <w:rFonts w:ascii="Calibri" w:hAnsi="Calibri" w:cs="Calibri"/>
      <w:b/>
      <w:bCs/>
    </w:rPr>
  </w:style>
  <w:style w:type="character" w:styleId="71" w:customStyle="1">
    <w:name w:val="Заголовок 7 Знак"/>
    <w:basedOn w:val="DefaultParagraphFont"/>
    <w:link w:val="7"/>
    <w:uiPriority w:val="99"/>
    <w:semiHidden/>
    <w:qFormat/>
    <w:locked/>
    <w:rPr>
      <w:rFonts w:ascii="Calibri" w:hAnsi="Calibri" w:cs="Calibri"/>
      <w:sz w:val="24"/>
      <w:szCs w:val="24"/>
    </w:rPr>
  </w:style>
  <w:style w:type="character" w:styleId="81" w:customStyle="1">
    <w:name w:val="Заголовок 8 Знак"/>
    <w:basedOn w:val="DefaultParagraphFont"/>
    <w:link w:val="8"/>
    <w:uiPriority w:val="99"/>
    <w:semiHidden/>
    <w:qFormat/>
    <w:locked/>
    <w:rPr>
      <w:rFonts w:ascii="Calibri" w:hAnsi="Calibri" w:cs="Calibri"/>
      <w:i/>
      <w:iCs/>
      <w:sz w:val="24"/>
      <w:szCs w:val="24"/>
    </w:rPr>
  </w:style>
  <w:style w:type="character" w:styleId="91" w:customStyle="1">
    <w:name w:val="Заголовок 9 Знак"/>
    <w:basedOn w:val="DefaultParagraphFont"/>
    <w:link w:val="9"/>
    <w:uiPriority w:val="99"/>
    <w:semiHidden/>
    <w:qFormat/>
    <w:locked/>
    <w:rPr>
      <w:rFonts w:ascii="Cambria" w:hAnsi="Cambria" w:cs="Cambria"/>
    </w:rPr>
  </w:style>
  <w:style w:type="character" w:styleId="Style5" w:customStyle="1">
    <w:name w:val="Название Знак"/>
    <w:basedOn w:val="DefaultParagraphFont"/>
    <w:link w:val="a3"/>
    <w:uiPriority w:val="99"/>
    <w:qFormat/>
    <w:locked/>
    <w:rPr>
      <w:rFonts w:ascii="Cambria" w:hAnsi="Cambria" w:cs="Cambria"/>
      <w:b/>
      <w:bCs/>
      <w:kern w:val="2"/>
      <w:sz w:val="32"/>
      <w:szCs w:val="32"/>
    </w:rPr>
  </w:style>
  <w:style w:type="character" w:styleId="Style6" w:customStyle="1">
    <w:name w:val="Основной текст Знак"/>
    <w:basedOn w:val="DefaultParagraphFont"/>
    <w:link w:val="a4"/>
    <w:uiPriority w:val="99"/>
    <w:semiHidden/>
    <w:qFormat/>
    <w:locked/>
    <w:rPr>
      <w:rFonts w:cs="Times New Roman"/>
      <w:sz w:val="24"/>
      <w:szCs w:val="24"/>
    </w:rPr>
  </w:style>
  <w:style w:type="character" w:styleId="Style7" w:customStyle="1">
    <w:name w:val="Подзаголовок Знак"/>
    <w:basedOn w:val="DefaultParagraphFont"/>
    <w:link w:val="a9"/>
    <w:uiPriority w:val="99"/>
    <w:qFormat/>
    <w:locked/>
    <w:rPr>
      <w:rFonts w:ascii="Cambria" w:hAnsi="Cambria" w:cs="Cambria"/>
      <w:sz w:val="24"/>
      <w:szCs w:val="24"/>
    </w:rPr>
  </w:style>
  <w:style w:type="character" w:styleId="Style8" w:customStyle="1">
    <w:name w:val="Верхний колонтитул Знак"/>
    <w:basedOn w:val="DefaultParagraphFont"/>
    <w:link w:val="ab"/>
    <w:uiPriority w:val="99"/>
    <w:semiHidden/>
    <w:qFormat/>
    <w:locked/>
    <w:rPr>
      <w:rFonts w:cs="Times New Roman"/>
      <w:sz w:val="24"/>
      <w:szCs w:val="24"/>
    </w:rPr>
  </w:style>
  <w:style w:type="character" w:styleId="Style9" w:customStyle="1">
    <w:name w:val="Нижний колонтитул Знак"/>
    <w:basedOn w:val="DefaultParagraphFont"/>
    <w:link w:val="ad"/>
    <w:uiPriority w:val="99"/>
    <w:semiHidden/>
    <w:qFormat/>
    <w:locked/>
    <w:rPr>
      <w:rFonts w:cs="Times New Roman"/>
      <w:sz w:val="24"/>
      <w:szCs w:val="24"/>
    </w:rPr>
  </w:style>
  <w:style w:type="character" w:styleId="Style10" w:customStyle="1">
    <w:name w:val="Основной текст с отступом Знак"/>
    <w:basedOn w:val="DefaultParagraphFont"/>
    <w:link w:val="af"/>
    <w:uiPriority w:val="99"/>
    <w:semiHidden/>
    <w:qFormat/>
    <w:locked/>
    <w:rPr>
      <w:rFonts w:cs="Times New Roman"/>
      <w:sz w:val="24"/>
      <w:szCs w:val="24"/>
    </w:rPr>
  </w:style>
  <w:style w:type="character" w:styleId="22" w:customStyle="1">
    <w:name w:val="Основной текст 2 Знак"/>
    <w:basedOn w:val="DefaultParagraphFont"/>
    <w:link w:val="21"/>
    <w:uiPriority w:val="99"/>
    <w:semiHidden/>
    <w:qFormat/>
    <w:locked/>
    <w:rPr>
      <w:rFonts w:cs="Times New Roman"/>
      <w:sz w:val="24"/>
      <w:szCs w:val="24"/>
    </w:rPr>
  </w:style>
  <w:style w:type="character" w:styleId="Style11" w:customStyle="1">
    <w:name w:val="Текст Знак"/>
    <w:basedOn w:val="DefaultParagraphFont"/>
    <w:link w:val="af2"/>
    <w:uiPriority w:val="99"/>
    <w:semiHidden/>
    <w:qFormat/>
    <w:locked/>
    <w:rPr>
      <w:rFonts w:ascii="Courier New" w:hAnsi="Courier New" w:cs="Courier New"/>
      <w:sz w:val="20"/>
      <w:szCs w:val="20"/>
    </w:rPr>
  </w:style>
  <w:style w:type="character" w:styleId="RTFNum21" w:customStyle="1">
    <w:name w:val="RTF_Num 2 1"/>
    <w:uiPriority w:val="99"/>
    <w:qFormat/>
    <w:rPr/>
  </w:style>
  <w:style w:type="character" w:styleId="RTFNum22" w:customStyle="1">
    <w:name w:val="RTF_Num 2 2"/>
    <w:uiPriority w:val="99"/>
    <w:qFormat/>
    <w:rPr>
      <w:caps/>
    </w:rPr>
  </w:style>
  <w:style w:type="character" w:styleId="RTFNum23" w:customStyle="1">
    <w:name w:val="RTF_Num 2 3"/>
    <w:uiPriority w:val="99"/>
    <w:qFormat/>
    <w:rPr>
      <w:rFonts w:ascii="Wingdings" w:hAnsi="Wingdings"/>
    </w:rPr>
  </w:style>
  <w:style w:type="character" w:styleId="RTFNum24" w:customStyle="1">
    <w:name w:val="RTF_Num 2 4"/>
    <w:uiPriority w:val="99"/>
    <w:qFormat/>
    <w:rPr>
      <w:rFonts w:ascii="Symbol" w:hAnsi="Symbol"/>
    </w:rPr>
  </w:style>
  <w:style w:type="character" w:styleId="RTFNum25" w:customStyle="1">
    <w:name w:val="RTF_Num 2 5"/>
    <w:uiPriority w:val="99"/>
    <w:qFormat/>
    <w:rPr>
      <w:rFonts w:ascii="Symbol" w:hAnsi="Symbol"/>
    </w:rPr>
  </w:style>
  <w:style w:type="character" w:styleId="RTFNum26" w:customStyle="1">
    <w:name w:val="RTF_Num 2 6"/>
    <w:uiPriority w:val="99"/>
    <w:qFormat/>
    <w:rPr>
      <w:rFonts w:ascii="Wingdings" w:hAnsi="Wingdings"/>
    </w:rPr>
  </w:style>
  <w:style w:type="character" w:styleId="RTFNum27" w:customStyle="1">
    <w:name w:val="RTF_Num 2 7"/>
    <w:uiPriority w:val="99"/>
    <w:qFormat/>
    <w:rPr>
      <w:rFonts w:ascii="Symbol" w:hAnsi="Symbol"/>
    </w:rPr>
  </w:style>
  <w:style w:type="character" w:styleId="RTFNum28" w:customStyle="1">
    <w:name w:val="RTF_Num 2 8"/>
    <w:uiPriority w:val="99"/>
    <w:qFormat/>
    <w:rPr>
      <w:rFonts w:ascii="Courier New" w:hAnsi="Courier New"/>
    </w:rPr>
  </w:style>
  <w:style w:type="character" w:styleId="RTFNum29" w:customStyle="1">
    <w:name w:val="RTF_Num 2 9"/>
    <w:uiPriority w:val="99"/>
    <w:qFormat/>
    <w:rPr>
      <w:rFonts w:ascii="Wingdings" w:hAnsi="Wingdings"/>
    </w:rPr>
  </w:style>
  <w:style w:type="character" w:styleId="WWRTFNum21" w:customStyle="1">
    <w:name w:val="WW-RTF_Num 2 1"/>
    <w:uiPriority w:val="99"/>
    <w:qFormat/>
    <w:rPr/>
  </w:style>
  <w:style w:type="character" w:styleId="RTFNum31" w:customStyle="1">
    <w:name w:val="RTF_Num 3 1"/>
    <w:uiPriority w:val="99"/>
    <w:qFormat/>
    <w:rPr>
      <w:rFonts w:ascii="Symbol" w:hAnsi="Symbol"/>
    </w:rPr>
  </w:style>
  <w:style w:type="character" w:styleId="RTFNum32" w:customStyle="1">
    <w:name w:val="RTF_Num 3 2"/>
    <w:uiPriority w:val="99"/>
    <w:qFormat/>
    <w:rPr>
      <w:rFonts w:ascii="Symbol" w:hAnsi="Symbol"/>
    </w:rPr>
  </w:style>
  <w:style w:type="character" w:styleId="RTFNum33" w:customStyle="1">
    <w:name w:val="RTF_Num 3 3"/>
    <w:uiPriority w:val="99"/>
    <w:qFormat/>
    <w:rPr/>
  </w:style>
  <w:style w:type="character" w:styleId="RTFNum34" w:customStyle="1">
    <w:name w:val="RTF_Num 3 4"/>
    <w:uiPriority w:val="99"/>
    <w:qFormat/>
    <w:rPr/>
  </w:style>
  <w:style w:type="character" w:styleId="RTFNum35" w:customStyle="1">
    <w:name w:val="RTF_Num 3 5"/>
    <w:uiPriority w:val="99"/>
    <w:qFormat/>
    <w:rPr/>
  </w:style>
  <w:style w:type="character" w:styleId="RTFNum36" w:customStyle="1">
    <w:name w:val="RTF_Num 3 6"/>
    <w:uiPriority w:val="99"/>
    <w:qFormat/>
    <w:rPr/>
  </w:style>
  <w:style w:type="character" w:styleId="RTFNum37" w:customStyle="1">
    <w:name w:val="RTF_Num 3 7"/>
    <w:uiPriority w:val="99"/>
    <w:qFormat/>
    <w:rPr/>
  </w:style>
  <w:style w:type="character" w:styleId="RTFNum38" w:customStyle="1">
    <w:name w:val="RTF_Num 3 8"/>
    <w:uiPriority w:val="99"/>
    <w:qFormat/>
    <w:rPr/>
  </w:style>
  <w:style w:type="character" w:styleId="RTFNum39" w:customStyle="1">
    <w:name w:val="RTF_Num 3 9"/>
    <w:uiPriority w:val="99"/>
    <w:qFormat/>
    <w:rPr/>
  </w:style>
  <w:style w:type="character" w:styleId="RTFNum41" w:customStyle="1">
    <w:name w:val="RTF_Num 4 1"/>
    <w:uiPriority w:val="99"/>
    <w:qFormat/>
    <w:rPr/>
  </w:style>
  <w:style w:type="character" w:styleId="RTFNum42" w:customStyle="1">
    <w:name w:val="RTF_Num 4 2"/>
    <w:uiPriority w:val="99"/>
    <w:qFormat/>
    <w:rPr>
      <w:b/>
    </w:rPr>
  </w:style>
  <w:style w:type="character" w:styleId="RTFNum43" w:customStyle="1">
    <w:name w:val="RTF_Num 4 3"/>
    <w:uiPriority w:val="99"/>
    <w:qFormat/>
    <w:rPr/>
  </w:style>
  <w:style w:type="character" w:styleId="RTFNum44" w:customStyle="1">
    <w:name w:val="RTF_Num 4 4"/>
    <w:uiPriority w:val="99"/>
    <w:qFormat/>
    <w:rPr/>
  </w:style>
  <w:style w:type="character" w:styleId="RTFNum45" w:customStyle="1">
    <w:name w:val="RTF_Num 4 5"/>
    <w:uiPriority w:val="99"/>
    <w:qFormat/>
    <w:rPr/>
  </w:style>
  <w:style w:type="character" w:styleId="RTFNum46" w:customStyle="1">
    <w:name w:val="RTF_Num 4 6"/>
    <w:uiPriority w:val="99"/>
    <w:qFormat/>
    <w:rPr/>
  </w:style>
  <w:style w:type="character" w:styleId="RTFNum47" w:customStyle="1">
    <w:name w:val="RTF_Num 4 7"/>
    <w:uiPriority w:val="99"/>
    <w:qFormat/>
    <w:rPr/>
  </w:style>
  <w:style w:type="character" w:styleId="RTFNum48" w:customStyle="1">
    <w:name w:val="RTF_Num 4 8"/>
    <w:uiPriority w:val="99"/>
    <w:qFormat/>
    <w:rPr/>
  </w:style>
  <w:style w:type="character" w:styleId="RTFNum49" w:customStyle="1">
    <w:name w:val="RTF_Num 4 9"/>
    <w:uiPriority w:val="99"/>
    <w:qFormat/>
    <w:rPr/>
  </w:style>
  <w:style w:type="character" w:styleId="RTFNum51" w:customStyle="1">
    <w:name w:val="RTF_Num 5 1"/>
    <w:uiPriority w:val="99"/>
    <w:qFormat/>
    <w:rPr>
      <w:caps/>
    </w:rPr>
  </w:style>
  <w:style w:type="character" w:styleId="RTFNum52" w:customStyle="1">
    <w:name w:val="RTF_Num 5 2"/>
    <w:uiPriority w:val="99"/>
    <w:qFormat/>
    <w:rPr/>
  </w:style>
  <w:style w:type="character" w:styleId="RTFNum53" w:customStyle="1">
    <w:name w:val="RTF_Num 5 3"/>
    <w:uiPriority w:val="99"/>
    <w:qFormat/>
    <w:rPr>
      <w:rFonts w:ascii="Symbol" w:hAnsi="Symbol"/>
    </w:rPr>
  </w:style>
  <w:style w:type="character" w:styleId="RTFNum54" w:customStyle="1">
    <w:name w:val="RTF_Num 5 4"/>
    <w:uiPriority w:val="99"/>
    <w:qFormat/>
    <w:rPr/>
  </w:style>
  <w:style w:type="character" w:styleId="RTFNum55" w:customStyle="1">
    <w:name w:val="RTF_Num 5 5"/>
    <w:uiPriority w:val="99"/>
    <w:qFormat/>
    <w:rPr/>
  </w:style>
  <w:style w:type="character" w:styleId="RTFNum56" w:customStyle="1">
    <w:name w:val="RTF_Num 5 6"/>
    <w:uiPriority w:val="99"/>
    <w:qFormat/>
    <w:rPr/>
  </w:style>
  <w:style w:type="character" w:styleId="RTFNum57" w:customStyle="1">
    <w:name w:val="RTF_Num 5 7"/>
    <w:uiPriority w:val="99"/>
    <w:qFormat/>
    <w:rPr/>
  </w:style>
  <w:style w:type="character" w:styleId="RTFNum58" w:customStyle="1">
    <w:name w:val="RTF_Num 5 8"/>
    <w:uiPriority w:val="99"/>
    <w:qFormat/>
    <w:rPr/>
  </w:style>
  <w:style w:type="character" w:styleId="RTFNum59" w:customStyle="1">
    <w:name w:val="RTF_Num 5 9"/>
    <w:uiPriority w:val="99"/>
    <w:qFormat/>
    <w:rPr/>
  </w:style>
  <w:style w:type="character" w:styleId="RTFNum61" w:customStyle="1">
    <w:name w:val="RTF_Num 6 1"/>
    <w:uiPriority w:val="99"/>
    <w:qFormat/>
    <w:rPr>
      <w:caps/>
    </w:rPr>
  </w:style>
  <w:style w:type="character" w:styleId="RTFNum62" w:customStyle="1">
    <w:name w:val="RTF_Num 6 2"/>
    <w:uiPriority w:val="99"/>
    <w:qFormat/>
    <w:rPr/>
  </w:style>
  <w:style w:type="character" w:styleId="RTFNum63" w:customStyle="1">
    <w:name w:val="RTF_Num 6 3"/>
    <w:uiPriority w:val="99"/>
    <w:qFormat/>
    <w:rPr>
      <w:rFonts w:ascii="Symbol" w:hAnsi="Symbol"/>
    </w:rPr>
  </w:style>
  <w:style w:type="character" w:styleId="RTFNum64" w:customStyle="1">
    <w:name w:val="RTF_Num 6 4"/>
    <w:uiPriority w:val="99"/>
    <w:qFormat/>
    <w:rPr/>
  </w:style>
  <w:style w:type="character" w:styleId="RTFNum65" w:customStyle="1">
    <w:name w:val="RTF_Num 6 5"/>
    <w:uiPriority w:val="99"/>
    <w:qFormat/>
    <w:rPr/>
  </w:style>
  <w:style w:type="character" w:styleId="RTFNum66" w:customStyle="1">
    <w:name w:val="RTF_Num 6 6"/>
    <w:uiPriority w:val="99"/>
    <w:qFormat/>
    <w:rPr/>
  </w:style>
  <w:style w:type="character" w:styleId="RTFNum67" w:customStyle="1">
    <w:name w:val="RTF_Num 6 7"/>
    <w:uiPriority w:val="99"/>
    <w:qFormat/>
    <w:rPr/>
  </w:style>
  <w:style w:type="character" w:styleId="RTFNum68" w:customStyle="1">
    <w:name w:val="RTF_Num 6 8"/>
    <w:uiPriority w:val="99"/>
    <w:qFormat/>
    <w:rPr/>
  </w:style>
  <w:style w:type="character" w:styleId="RTFNum69" w:customStyle="1">
    <w:name w:val="RTF_Num 6 9"/>
    <w:uiPriority w:val="99"/>
    <w:qFormat/>
    <w:rPr/>
  </w:style>
  <w:style w:type="character" w:styleId="RTFNum71" w:customStyle="1">
    <w:name w:val="RTF_Num 7 1"/>
    <w:uiPriority w:val="99"/>
    <w:qFormat/>
    <w:rPr>
      <w:caps/>
    </w:rPr>
  </w:style>
  <w:style w:type="character" w:styleId="RTFNum72" w:customStyle="1">
    <w:name w:val="RTF_Num 7 2"/>
    <w:uiPriority w:val="99"/>
    <w:qFormat/>
    <w:rPr/>
  </w:style>
  <w:style w:type="character" w:styleId="RTFNum73" w:customStyle="1">
    <w:name w:val="RTF_Num 7 3"/>
    <w:uiPriority w:val="99"/>
    <w:qFormat/>
    <w:rPr>
      <w:rFonts w:ascii="Symbol" w:hAnsi="Symbol"/>
    </w:rPr>
  </w:style>
  <w:style w:type="character" w:styleId="RTFNum74" w:customStyle="1">
    <w:name w:val="RTF_Num 7 4"/>
    <w:uiPriority w:val="99"/>
    <w:qFormat/>
    <w:rPr/>
  </w:style>
  <w:style w:type="character" w:styleId="RTFNum75" w:customStyle="1">
    <w:name w:val="RTF_Num 7 5"/>
    <w:uiPriority w:val="99"/>
    <w:qFormat/>
    <w:rPr/>
  </w:style>
  <w:style w:type="character" w:styleId="RTFNum76" w:customStyle="1">
    <w:name w:val="RTF_Num 7 6"/>
    <w:uiPriority w:val="99"/>
    <w:qFormat/>
    <w:rPr/>
  </w:style>
  <w:style w:type="character" w:styleId="RTFNum77" w:customStyle="1">
    <w:name w:val="RTF_Num 7 7"/>
    <w:uiPriority w:val="99"/>
    <w:qFormat/>
    <w:rPr/>
  </w:style>
  <w:style w:type="character" w:styleId="RTFNum78" w:customStyle="1">
    <w:name w:val="RTF_Num 7 8"/>
    <w:uiPriority w:val="99"/>
    <w:qFormat/>
    <w:rPr/>
  </w:style>
  <w:style w:type="character" w:styleId="RTFNum79" w:customStyle="1">
    <w:name w:val="RTF_Num 7 9"/>
    <w:uiPriority w:val="99"/>
    <w:qFormat/>
    <w:rPr/>
  </w:style>
  <w:style w:type="character" w:styleId="RTFNum81" w:customStyle="1">
    <w:name w:val="RTF_Num 8 1"/>
    <w:uiPriority w:val="99"/>
    <w:qFormat/>
    <w:rPr/>
  </w:style>
  <w:style w:type="character" w:styleId="RTFNum82" w:customStyle="1">
    <w:name w:val="RTF_Num 8 2"/>
    <w:uiPriority w:val="99"/>
    <w:qFormat/>
    <w:rPr>
      <w:b/>
    </w:rPr>
  </w:style>
  <w:style w:type="character" w:styleId="RTFNum83" w:customStyle="1">
    <w:name w:val="RTF_Num 8 3"/>
    <w:uiPriority w:val="99"/>
    <w:qFormat/>
    <w:rPr/>
  </w:style>
  <w:style w:type="character" w:styleId="RTFNum84" w:customStyle="1">
    <w:name w:val="RTF_Num 8 4"/>
    <w:uiPriority w:val="99"/>
    <w:qFormat/>
    <w:rPr/>
  </w:style>
  <w:style w:type="character" w:styleId="RTFNum85" w:customStyle="1">
    <w:name w:val="RTF_Num 8 5"/>
    <w:uiPriority w:val="99"/>
    <w:qFormat/>
    <w:rPr/>
  </w:style>
  <w:style w:type="character" w:styleId="RTFNum86" w:customStyle="1">
    <w:name w:val="RTF_Num 8 6"/>
    <w:uiPriority w:val="99"/>
    <w:qFormat/>
    <w:rPr/>
  </w:style>
  <w:style w:type="character" w:styleId="RTFNum87" w:customStyle="1">
    <w:name w:val="RTF_Num 8 7"/>
    <w:uiPriority w:val="99"/>
    <w:qFormat/>
    <w:rPr/>
  </w:style>
  <w:style w:type="character" w:styleId="RTFNum88" w:customStyle="1">
    <w:name w:val="RTF_Num 8 8"/>
    <w:uiPriority w:val="99"/>
    <w:qFormat/>
    <w:rPr/>
  </w:style>
  <w:style w:type="character" w:styleId="RTFNum89" w:customStyle="1">
    <w:name w:val="RTF_Num 8 9"/>
    <w:uiPriority w:val="99"/>
    <w:qFormat/>
    <w:rPr/>
  </w:style>
  <w:style w:type="character" w:styleId="RTFNum91" w:customStyle="1">
    <w:name w:val="RTF_Num 9 1"/>
    <w:uiPriority w:val="99"/>
    <w:qFormat/>
    <w:rPr/>
  </w:style>
  <w:style w:type="character" w:styleId="RTFNum92" w:customStyle="1">
    <w:name w:val="RTF_Num 9 2"/>
    <w:uiPriority w:val="99"/>
    <w:qFormat/>
    <w:rPr>
      <w:b/>
    </w:rPr>
  </w:style>
  <w:style w:type="character" w:styleId="RTFNum93" w:customStyle="1">
    <w:name w:val="RTF_Num 9 3"/>
    <w:uiPriority w:val="99"/>
    <w:qFormat/>
    <w:rPr/>
  </w:style>
  <w:style w:type="character" w:styleId="RTFNum94" w:customStyle="1">
    <w:name w:val="RTF_Num 9 4"/>
    <w:uiPriority w:val="99"/>
    <w:qFormat/>
    <w:rPr/>
  </w:style>
  <w:style w:type="character" w:styleId="RTFNum95" w:customStyle="1">
    <w:name w:val="RTF_Num 9 5"/>
    <w:uiPriority w:val="99"/>
    <w:qFormat/>
    <w:rPr/>
  </w:style>
  <w:style w:type="character" w:styleId="RTFNum96" w:customStyle="1">
    <w:name w:val="RTF_Num 9 6"/>
    <w:uiPriority w:val="99"/>
    <w:qFormat/>
    <w:rPr/>
  </w:style>
  <w:style w:type="character" w:styleId="RTFNum97" w:customStyle="1">
    <w:name w:val="RTF_Num 9 7"/>
    <w:uiPriority w:val="99"/>
    <w:qFormat/>
    <w:rPr/>
  </w:style>
  <w:style w:type="character" w:styleId="RTFNum98" w:customStyle="1">
    <w:name w:val="RTF_Num 9 8"/>
    <w:uiPriority w:val="99"/>
    <w:qFormat/>
    <w:rPr/>
  </w:style>
  <w:style w:type="character" w:styleId="RTFNum99" w:customStyle="1">
    <w:name w:val="RTF_Num 9 9"/>
    <w:uiPriority w:val="99"/>
    <w:qFormat/>
    <w:rPr/>
  </w:style>
  <w:style w:type="character" w:styleId="RTFNum101" w:customStyle="1">
    <w:name w:val="RTF_Num 10 1"/>
    <w:uiPriority w:val="99"/>
    <w:qFormat/>
    <w:rPr/>
  </w:style>
  <w:style w:type="character" w:styleId="RTFNum102" w:customStyle="1">
    <w:name w:val="RTF_Num 10 2"/>
    <w:uiPriority w:val="99"/>
    <w:qFormat/>
    <w:rPr/>
  </w:style>
  <w:style w:type="character" w:styleId="RTFNum103" w:customStyle="1">
    <w:name w:val="RTF_Num 10 3"/>
    <w:uiPriority w:val="99"/>
    <w:qFormat/>
    <w:rPr/>
  </w:style>
  <w:style w:type="character" w:styleId="RTFNum104" w:customStyle="1">
    <w:name w:val="RTF_Num 10 4"/>
    <w:uiPriority w:val="99"/>
    <w:qFormat/>
    <w:rPr/>
  </w:style>
  <w:style w:type="character" w:styleId="RTFNum105" w:customStyle="1">
    <w:name w:val="RTF_Num 10 5"/>
    <w:uiPriority w:val="99"/>
    <w:qFormat/>
    <w:rPr/>
  </w:style>
  <w:style w:type="character" w:styleId="RTFNum106" w:customStyle="1">
    <w:name w:val="RTF_Num 10 6"/>
    <w:uiPriority w:val="99"/>
    <w:qFormat/>
    <w:rPr/>
  </w:style>
  <w:style w:type="character" w:styleId="RTFNum107" w:customStyle="1">
    <w:name w:val="RTF_Num 10 7"/>
    <w:uiPriority w:val="99"/>
    <w:qFormat/>
    <w:rPr/>
  </w:style>
  <w:style w:type="character" w:styleId="RTFNum108" w:customStyle="1">
    <w:name w:val="RTF_Num 10 8"/>
    <w:uiPriority w:val="99"/>
    <w:qFormat/>
    <w:rPr/>
  </w:style>
  <w:style w:type="character" w:styleId="RTFNum109" w:customStyle="1">
    <w:name w:val="RTF_Num 10 9"/>
    <w:uiPriority w:val="99"/>
    <w:qFormat/>
    <w:rPr/>
  </w:style>
  <w:style w:type="character" w:styleId="RTFNum111" w:customStyle="1">
    <w:name w:val="RTF_Num 11 1"/>
    <w:uiPriority w:val="99"/>
    <w:qFormat/>
    <w:rPr/>
  </w:style>
  <w:style w:type="character" w:styleId="RTFNum112" w:customStyle="1">
    <w:name w:val="RTF_Num 11 2"/>
    <w:uiPriority w:val="99"/>
    <w:qFormat/>
    <w:rPr>
      <w:b/>
    </w:rPr>
  </w:style>
  <w:style w:type="character" w:styleId="RTFNum113" w:customStyle="1">
    <w:name w:val="RTF_Num 11 3"/>
    <w:uiPriority w:val="99"/>
    <w:qFormat/>
    <w:rPr/>
  </w:style>
  <w:style w:type="character" w:styleId="RTFNum114" w:customStyle="1">
    <w:name w:val="RTF_Num 11 4"/>
    <w:uiPriority w:val="99"/>
    <w:qFormat/>
    <w:rPr/>
  </w:style>
  <w:style w:type="character" w:styleId="RTFNum115" w:customStyle="1">
    <w:name w:val="RTF_Num 11 5"/>
    <w:uiPriority w:val="99"/>
    <w:qFormat/>
    <w:rPr/>
  </w:style>
  <w:style w:type="character" w:styleId="RTFNum116" w:customStyle="1">
    <w:name w:val="RTF_Num 11 6"/>
    <w:uiPriority w:val="99"/>
    <w:qFormat/>
    <w:rPr/>
  </w:style>
  <w:style w:type="character" w:styleId="RTFNum117" w:customStyle="1">
    <w:name w:val="RTF_Num 11 7"/>
    <w:uiPriority w:val="99"/>
    <w:qFormat/>
    <w:rPr/>
  </w:style>
  <w:style w:type="character" w:styleId="RTFNum118" w:customStyle="1">
    <w:name w:val="RTF_Num 11 8"/>
    <w:uiPriority w:val="99"/>
    <w:qFormat/>
    <w:rPr/>
  </w:style>
  <w:style w:type="character" w:styleId="RTFNum119" w:customStyle="1">
    <w:name w:val="RTF_Num 11 9"/>
    <w:uiPriority w:val="99"/>
    <w:qFormat/>
    <w:rPr/>
  </w:style>
  <w:style w:type="character" w:styleId="3f3f3f3f3f3f3f3f3f3f3f3f3f3f3f3f3f3f3f3f3f" w:customStyle="1">
    <w:name w:val="В3fе3fр3fх3fн3fи3fй3f к3fо3fл3fо3fн3fт3fи3fт3fу3fл3f З3fн3fа3fк3f"/>
    <w:basedOn w:val="DefaultParagraphFont"/>
    <w:uiPriority w:val="99"/>
    <w:qFormat/>
    <w:rPr>
      <w:rFonts w:cs="Times New Roman"/>
    </w:rPr>
  </w:style>
  <w:style w:type="character" w:styleId="Style12" w:customStyle="1">
    <w:name w:val="Интернет-ссылка"/>
    <w:uiPriority w:val="99"/>
    <w:qFormat/>
    <w:rPr>
      <w:color w:val="000080"/>
      <w:u w:val="single"/>
      <w:lang w:val="zxx" w:eastAsia="zxx" w:bidi="zxx"/>
    </w:rPr>
  </w:style>
  <w:style w:type="character" w:styleId="WWInternetlink" w:customStyle="1">
    <w:name w:val="WW-Internet link"/>
    <w:uiPriority w:val="99"/>
    <w:qFormat/>
    <w:rPr>
      <w:color w:val="000080"/>
      <w:u w:val="single"/>
      <w:lang w:val="x-none"/>
    </w:rPr>
  </w:style>
  <w:style w:type="character" w:styleId="WWInternetlink1" w:customStyle="1">
    <w:name w:val="WW-Internet link1"/>
    <w:uiPriority w:val="99"/>
    <w:qFormat/>
    <w:rPr>
      <w:color w:val="000080"/>
      <w:u w:val="single"/>
      <w:lang w:val="x-none"/>
    </w:rPr>
  </w:style>
  <w:style w:type="character" w:styleId="WWInternetlink12" w:customStyle="1">
    <w:name w:val="WW-Internet link12"/>
    <w:uiPriority w:val="99"/>
    <w:qFormat/>
    <w:rPr>
      <w:color w:val="000080"/>
      <w:u w:val="single"/>
      <w:lang w:val="x-none"/>
    </w:rPr>
  </w:style>
  <w:style w:type="character" w:styleId="WWInternetlink123" w:customStyle="1">
    <w:name w:val="WW-Internet link123"/>
    <w:uiPriority w:val="99"/>
    <w:qFormat/>
    <w:rPr>
      <w:color w:val="000080"/>
      <w:u w:val="single"/>
      <w:lang w:val="x-none"/>
    </w:rPr>
  </w:style>
  <w:style w:type="character" w:styleId="Internetlink1" w:customStyle="1">
    <w:name w:val="Internet link1"/>
    <w:uiPriority w:val="99"/>
    <w:qFormat/>
    <w:rPr>
      <w:color w:val="000080"/>
      <w:u w:val="single"/>
      <w:lang w:val="x-none"/>
    </w:rPr>
  </w:style>
  <w:style w:type="character" w:styleId="Applestylespan" w:customStyle="1">
    <w:name w:val="apple-style-span"/>
    <w:basedOn w:val="DefaultParagraphFont"/>
    <w:uiPriority w:val="99"/>
    <w:qFormat/>
    <w:rsid w:val="00f15d57"/>
    <w:rPr>
      <w:rFonts w:cs="Times New Roman"/>
    </w:rPr>
  </w:style>
  <w:style w:type="paragraph" w:styleId="Style13">
    <w:name w:val="Заголовок"/>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link w:val="a6"/>
    <w:uiPriority w:val="99"/>
    <w:pPr>
      <w:spacing w:before="0" w:after="120"/>
      <w:ind w:left="567" w:hanging="567"/>
    </w:pPr>
    <w:rPr/>
  </w:style>
  <w:style w:type="paragraph" w:styleId="Style15">
    <w:name w:val="List"/>
    <w:basedOn w:val="Normal"/>
    <w:uiPriority w:val="99"/>
    <w:pPr>
      <w:tabs>
        <w:tab w:val="clear" w:pos="1298"/>
        <w:tab w:val="left" w:pos="720" w:leader="none"/>
      </w:tabs>
      <w:ind w:left="720" w:hanging="432"/>
    </w:pPr>
    <w:rPr/>
  </w:style>
  <w:style w:type="paragraph" w:styleId="Style16">
    <w:name w:val="Caption"/>
    <w:basedOn w:val="Normal"/>
    <w:qFormat/>
    <w:pPr>
      <w:suppressLineNumbers/>
      <w:spacing w:before="120" w:after="120"/>
    </w:pPr>
    <w:rPr>
      <w:rFonts w:cs="Lohit Devanagari"/>
      <w:i/>
      <w:iCs/>
      <w:sz w:val="24"/>
      <w:szCs w:val="24"/>
    </w:rPr>
  </w:style>
  <w:style w:type="paragraph" w:styleId="Style17" w:customStyle="1">
    <w:name w:val="Указатель"/>
    <w:basedOn w:val="Normal"/>
    <w:uiPriority w:val="99"/>
    <w:qFormat/>
    <w:pPr/>
    <w:rPr/>
  </w:style>
  <w:style w:type="paragraph" w:styleId="Style18">
    <w:name w:val="Title"/>
    <w:basedOn w:val="Normal"/>
    <w:next w:val="Style14"/>
    <w:link w:val="a5"/>
    <w:uiPriority w:val="99"/>
    <w:qFormat/>
    <w:pPr>
      <w:keepNext w:val="true"/>
      <w:spacing w:before="240" w:after="120"/>
    </w:pPr>
    <w:rPr>
      <w:rFonts w:ascii="Liberation Sans" w:hAnsi="Liberation Sans" w:cs="Liberation Sans"/>
      <w:sz w:val="28"/>
      <w:szCs w:val="28"/>
    </w:rPr>
  </w:style>
  <w:style w:type="paragraph" w:styleId="Caption">
    <w:name w:val="caption"/>
    <w:basedOn w:val="Normal"/>
    <w:uiPriority w:val="99"/>
    <w:qFormat/>
    <w:pPr>
      <w:spacing w:before="120" w:after="120"/>
    </w:pPr>
    <w:rPr>
      <w:i/>
      <w:iCs/>
    </w:rPr>
  </w:style>
  <w:style w:type="paragraph" w:styleId="Style19">
    <w:name w:val="Subtitle"/>
    <w:basedOn w:val="WWTitle"/>
    <w:next w:val="Style14"/>
    <w:link w:val="aa"/>
    <w:uiPriority w:val="99"/>
    <w:qFormat/>
    <w:pPr>
      <w:jc w:val="center"/>
    </w:pPr>
    <w:rPr>
      <w:i/>
      <w:iCs/>
    </w:rPr>
  </w:style>
  <w:style w:type="paragraph" w:styleId="Index1" w:customStyle="1">
    <w:name w:val="Index1"/>
    <w:basedOn w:val="Normal"/>
    <w:uiPriority w:val="99"/>
    <w:qFormat/>
    <w:pPr/>
    <w:rPr/>
  </w:style>
  <w:style w:type="paragraph" w:styleId="WWTitle" w:customStyle="1">
    <w:name w:val="WW-Title"/>
    <w:basedOn w:val="Normal"/>
    <w:next w:val="Style14"/>
    <w:uiPriority w:val="99"/>
    <w:qFormat/>
    <w:pPr>
      <w:keepNext w:val="true"/>
      <w:spacing w:before="240" w:after="120"/>
    </w:pPr>
    <w:rPr>
      <w:rFonts w:ascii="Liberation Sans" w:hAnsi="Liberation Sans" w:cs="Liberation Sans"/>
      <w:sz w:val="28"/>
      <w:szCs w:val="28"/>
    </w:rPr>
  </w:style>
  <w:style w:type="paragraph" w:styleId="WWcaption" w:customStyle="1">
    <w:name w:val="WW-caption"/>
    <w:basedOn w:val="Normal"/>
    <w:uiPriority w:val="99"/>
    <w:qFormat/>
    <w:pPr>
      <w:spacing w:before="120" w:after="120"/>
    </w:pPr>
    <w:rPr>
      <w:i/>
      <w:iCs/>
    </w:rPr>
  </w:style>
  <w:style w:type="paragraph" w:styleId="WWIndex" w:customStyle="1">
    <w:name w:val="WW-Index"/>
    <w:basedOn w:val="Normal"/>
    <w:uiPriority w:val="99"/>
    <w:qFormat/>
    <w:pPr/>
    <w:rPr/>
  </w:style>
  <w:style w:type="paragraph" w:styleId="WWTitle1" w:customStyle="1">
    <w:name w:val="WW-Title1"/>
    <w:basedOn w:val="Normal"/>
    <w:next w:val="Style14"/>
    <w:uiPriority w:val="99"/>
    <w:qFormat/>
    <w:pPr>
      <w:keepNext w:val="true"/>
      <w:spacing w:before="240" w:after="120"/>
    </w:pPr>
    <w:rPr>
      <w:rFonts w:ascii="Liberation Sans" w:hAnsi="Liberation Sans" w:cs="Liberation Sans"/>
      <w:sz w:val="28"/>
      <w:szCs w:val="28"/>
    </w:rPr>
  </w:style>
  <w:style w:type="paragraph" w:styleId="WWcaption1" w:customStyle="1">
    <w:name w:val="WW-caption1"/>
    <w:basedOn w:val="Normal"/>
    <w:uiPriority w:val="99"/>
    <w:qFormat/>
    <w:pPr>
      <w:spacing w:before="120" w:after="120"/>
    </w:pPr>
    <w:rPr>
      <w:i/>
      <w:iCs/>
    </w:rPr>
  </w:style>
  <w:style w:type="paragraph" w:styleId="WWIndex1" w:customStyle="1">
    <w:name w:val="WW-Index1"/>
    <w:basedOn w:val="Normal"/>
    <w:uiPriority w:val="99"/>
    <w:qFormat/>
    <w:pPr/>
    <w:rPr/>
  </w:style>
  <w:style w:type="paragraph" w:styleId="WWcaption11" w:customStyle="1">
    <w:name w:val="WW-caption11"/>
    <w:basedOn w:val="Normal"/>
    <w:uiPriority w:val="99"/>
    <w:qFormat/>
    <w:pPr>
      <w:spacing w:before="120" w:after="120"/>
    </w:pPr>
    <w:rPr>
      <w:i/>
      <w:iCs/>
    </w:rPr>
  </w:style>
  <w:style w:type="paragraph" w:styleId="WWIndex11" w:customStyle="1">
    <w:name w:val="WW-Index11"/>
    <w:basedOn w:val="Normal"/>
    <w:uiPriority w:val="99"/>
    <w:qFormat/>
    <w:pPr/>
    <w:rPr/>
  </w:style>
  <w:style w:type="paragraph" w:styleId="WWTitle11" w:customStyle="1">
    <w:name w:val="WW-Title11"/>
    <w:basedOn w:val="Normal"/>
    <w:next w:val="Style14"/>
    <w:uiPriority w:val="99"/>
    <w:qFormat/>
    <w:pPr>
      <w:keepNext w:val="true"/>
      <w:spacing w:before="240" w:after="120"/>
    </w:pPr>
    <w:rPr>
      <w:rFonts w:ascii="Liberation Sans" w:hAnsi="Liberation Sans" w:cs="Liberation Sans"/>
      <w:sz w:val="28"/>
      <w:szCs w:val="28"/>
    </w:rPr>
  </w:style>
  <w:style w:type="paragraph" w:styleId="WWcaption111" w:customStyle="1">
    <w:name w:val="WW-caption111"/>
    <w:basedOn w:val="Normal"/>
    <w:uiPriority w:val="99"/>
    <w:qFormat/>
    <w:pPr>
      <w:spacing w:before="120" w:after="120"/>
    </w:pPr>
    <w:rPr>
      <w:i/>
      <w:iCs/>
    </w:rPr>
  </w:style>
  <w:style w:type="paragraph" w:styleId="WWIndex111" w:customStyle="1">
    <w:name w:val="WW-Index111"/>
    <w:basedOn w:val="Normal"/>
    <w:uiPriority w:val="99"/>
    <w:qFormat/>
    <w:pPr/>
    <w:rPr/>
  </w:style>
  <w:style w:type="paragraph" w:styleId="Style20">
    <w:name w:val="Верхний и нижний колонтитулы"/>
    <w:basedOn w:val="Normal"/>
    <w:qFormat/>
    <w:pPr/>
    <w:rPr/>
  </w:style>
  <w:style w:type="paragraph" w:styleId="Style21">
    <w:name w:val="Header"/>
    <w:basedOn w:val="Normal"/>
    <w:link w:val="ac"/>
    <w:uiPriority w:val="99"/>
    <w:pPr>
      <w:tabs>
        <w:tab w:val="clear" w:pos="1298"/>
        <w:tab w:val="center" w:pos="4677" w:leader="none"/>
        <w:tab w:val="right" w:pos="9355" w:leader="none"/>
      </w:tabs>
    </w:pPr>
    <w:rPr/>
  </w:style>
  <w:style w:type="paragraph" w:styleId="Style22">
    <w:name w:val="Footer"/>
    <w:basedOn w:val="Normal"/>
    <w:link w:val="ae"/>
    <w:uiPriority w:val="99"/>
    <w:pPr>
      <w:tabs>
        <w:tab w:val="clear" w:pos="1298"/>
        <w:tab w:val="center" w:pos="4320" w:leader="none"/>
        <w:tab w:val="right" w:pos="8640" w:leader="none"/>
      </w:tabs>
    </w:pPr>
    <w:rPr/>
  </w:style>
  <w:style w:type="paragraph" w:styleId="Style23">
    <w:name w:val="Body Text Indent"/>
    <w:basedOn w:val="Normal"/>
    <w:link w:val="af0"/>
    <w:uiPriority w:val="99"/>
    <w:pPr>
      <w:tabs>
        <w:tab w:val="clear" w:pos="1298"/>
        <w:tab w:val="left" w:pos="900" w:leader="none"/>
      </w:tabs>
      <w:ind w:firstLine="540"/>
      <w:jc w:val="both"/>
    </w:pPr>
    <w:rPr/>
  </w:style>
  <w:style w:type="paragraph" w:styleId="NoSpacing">
    <w:name w:val="No Spacing"/>
    <w:uiPriority w:val="99"/>
    <w:qFormat/>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odyText2">
    <w:name w:val="Body Text 2"/>
    <w:basedOn w:val="Normal"/>
    <w:link w:val="22"/>
    <w:uiPriority w:val="99"/>
    <w:qFormat/>
    <w:pPr>
      <w:spacing w:lineRule="auto" w:line="480" w:before="0" w:after="120"/>
    </w:pPr>
    <w:rPr/>
  </w:style>
  <w:style w:type="paragraph" w:styleId="PlainText">
    <w:name w:val="Plain Text"/>
    <w:basedOn w:val="Normal"/>
    <w:link w:val="af3"/>
    <w:uiPriority w:val="99"/>
    <w:qFormat/>
    <w:pPr/>
    <w:rPr>
      <w:rFonts w:ascii="Courier New" w:hAnsi="Courier New" w:cs="Courier New"/>
      <w:sz w:val="20"/>
      <w:szCs w:val="20"/>
    </w:rPr>
  </w:style>
  <w:style w:type="paragraph" w:styleId="12">
    <w:name w:val="TOC 1"/>
    <w:basedOn w:val="Normal"/>
    <w:next w:val="Normal"/>
    <w:autoRedefine/>
    <w:uiPriority w:val="99"/>
    <w:semiHidden/>
    <w:pPr/>
    <w:rPr/>
  </w:style>
  <w:style w:type="paragraph" w:styleId="U" w:customStyle="1">
    <w:name w:val="u"/>
    <w:basedOn w:val="Normal"/>
    <w:uiPriority w:val="99"/>
    <w:qFormat/>
    <w:pPr>
      <w:ind w:firstLine="390"/>
      <w:jc w:val="both"/>
    </w:pPr>
    <w:rPr/>
  </w:style>
  <w:style w:type="paragraph" w:styleId="Uni" w:customStyle="1">
    <w:name w:val="uni"/>
    <w:basedOn w:val="Normal"/>
    <w:uiPriority w:val="99"/>
    <w:qFormat/>
    <w:pPr>
      <w:ind w:firstLine="390"/>
      <w:jc w:val="both"/>
    </w:pPr>
    <w:rPr/>
  </w:style>
  <w:style w:type="paragraph" w:styleId="WWfooter" w:customStyle="1">
    <w:name w:val="WW-footer"/>
    <w:basedOn w:val="Normal"/>
    <w:uiPriority w:val="99"/>
    <w:qFormat/>
    <w:pPr>
      <w:tabs>
        <w:tab w:val="clear" w:pos="1298"/>
        <w:tab w:val="center" w:pos="5103" w:leader="none"/>
        <w:tab w:val="right" w:pos="10206" w:leader="none"/>
      </w:tabs>
    </w:pPr>
    <w:rPr/>
  </w:style>
  <w:style w:type="paragraph" w:styleId="Style24" w:customStyle="1">
    <w:name w:val="Содержимое таблицы"/>
    <w:basedOn w:val="Normal"/>
    <w:uiPriority w:val="99"/>
    <w:qFormat/>
    <w:pPr/>
    <w:rPr/>
  </w:style>
  <w:style w:type="paragraph" w:styleId="Style25" w:customStyle="1">
    <w:name w:val="Заголовок таблицы"/>
    <w:basedOn w:val="Style24"/>
    <w:uiPriority w:val="99"/>
    <w:qFormat/>
    <w:pPr>
      <w:jc w:val="center"/>
    </w:pPr>
    <w:rPr>
      <w:b/>
      <w:bCs/>
    </w:rPr>
  </w:style>
  <w:style w:type="paragraph" w:styleId="WWfooter1" w:customStyle="1">
    <w:name w:val="WW-footer1"/>
    <w:basedOn w:val="Normal"/>
    <w:uiPriority w:val="99"/>
    <w:qFormat/>
    <w:pPr>
      <w:tabs>
        <w:tab w:val="clear" w:pos="1298"/>
        <w:tab w:val="center" w:pos="4320" w:leader="none"/>
        <w:tab w:val="right" w:pos="8640" w:leader="none"/>
      </w:tabs>
    </w:pPr>
    <w:rPr/>
  </w:style>
  <w:style w:type="paragraph" w:styleId="WWTableContents" w:customStyle="1">
    <w:name w:val="WW-Table Contents"/>
    <w:basedOn w:val="Normal"/>
    <w:uiPriority w:val="99"/>
    <w:qFormat/>
    <w:pPr/>
    <w:rPr/>
  </w:style>
  <w:style w:type="paragraph" w:styleId="WWTableHeading" w:customStyle="1">
    <w:name w:val="WW-Table Heading"/>
    <w:basedOn w:val="WWTableContents"/>
    <w:uiPriority w:val="99"/>
    <w:qFormat/>
    <w:pPr>
      <w:jc w:val="center"/>
    </w:pPr>
    <w:rPr>
      <w:b/>
      <w:bCs/>
    </w:rPr>
  </w:style>
  <w:style w:type="paragraph" w:styleId="WWfooter12" w:customStyle="1">
    <w:name w:val="WW-footer12"/>
    <w:basedOn w:val="Normal"/>
    <w:uiPriority w:val="99"/>
    <w:qFormat/>
    <w:pPr>
      <w:tabs>
        <w:tab w:val="clear" w:pos="1298"/>
        <w:tab w:val="center" w:pos="4320" w:leader="none"/>
        <w:tab w:val="right" w:pos="8640" w:leader="none"/>
      </w:tabs>
    </w:pPr>
    <w:rPr/>
  </w:style>
  <w:style w:type="paragraph" w:styleId="WWTableContents1" w:customStyle="1">
    <w:name w:val="WW-Table Contents1"/>
    <w:basedOn w:val="Normal"/>
    <w:uiPriority w:val="99"/>
    <w:qFormat/>
    <w:pPr/>
    <w:rPr/>
  </w:style>
  <w:style w:type="paragraph" w:styleId="WWTableHeading1" w:customStyle="1">
    <w:name w:val="WW-Table Heading1"/>
    <w:basedOn w:val="WWTableContents1"/>
    <w:uiPriority w:val="99"/>
    <w:qFormat/>
    <w:pPr>
      <w:jc w:val="center"/>
    </w:pPr>
    <w:rPr>
      <w:b/>
      <w:bCs/>
    </w:rPr>
  </w:style>
  <w:style w:type="paragraph" w:styleId="WWfooter123" w:customStyle="1">
    <w:name w:val="WW-footer123"/>
    <w:basedOn w:val="Normal"/>
    <w:uiPriority w:val="99"/>
    <w:qFormat/>
    <w:pPr>
      <w:tabs>
        <w:tab w:val="clear" w:pos="1298"/>
        <w:tab w:val="center" w:pos="4320" w:leader="none"/>
        <w:tab w:val="right" w:pos="8640" w:leader="none"/>
      </w:tabs>
    </w:pPr>
    <w:rPr/>
  </w:style>
  <w:style w:type="paragraph" w:styleId="WWTableContents12" w:customStyle="1">
    <w:name w:val="WW-Table Contents12"/>
    <w:basedOn w:val="Normal"/>
    <w:uiPriority w:val="99"/>
    <w:qFormat/>
    <w:pPr/>
    <w:rPr/>
  </w:style>
  <w:style w:type="paragraph" w:styleId="WWTableHeading12" w:customStyle="1">
    <w:name w:val="WW-Table Heading12"/>
    <w:basedOn w:val="WWTableContents12"/>
    <w:uiPriority w:val="99"/>
    <w:qFormat/>
    <w:pPr>
      <w:jc w:val="center"/>
    </w:pPr>
    <w:rPr>
      <w:b/>
      <w:bCs/>
    </w:rPr>
  </w:style>
  <w:style w:type="paragraph" w:styleId="WWfooter1234" w:customStyle="1">
    <w:name w:val="WW-footer1234"/>
    <w:basedOn w:val="Normal"/>
    <w:uiPriority w:val="99"/>
    <w:qFormat/>
    <w:pPr>
      <w:tabs>
        <w:tab w:val="clear" w:pos="1298"/>
        <w:tab w:val="center" w:pos="4320" w:leader="none"/>
        <w:tab w:val="right" w:pos="8640" w:leader="none"/>
      </w:tabs>
    </w:pPr>
    <w:rPr/>
  </w:style>
  <w:style w:type="paragraph" w:styleId="WWTableContents123" w:customStyle="1">
    <w:name w:val="WW-Table Contents123"/>
    <w:basedOn w:val="Normal"/>
    <w:uiPriority w:val="99"/>
    <w:qFormat/>
    <w:pPr/>
    <w:rPr/>
  </w:style>
  <w:style w:type="paragraph" w:styleId="WWTableHeading123" w:customStyle="1">
    <w:name w:val="WW-Table Heading123"/>
    <w:basedOn w:val="WWTableContents123"/>
    <w:uiPriority w:val="99"/>
    <w:qFormat/>
    <w:pPr>
      <w:jc w:val="center"/>
    </w:pPr>
    <w:rPr>
      <w:b/>
      <w:bCs/>
    </w:rPr>
  </w:style>
  <w:style w:type="paragraph" w:styleId="TableContents1" w:customStyle="1">
    <w:name w:val="Table Contents1"/>
    <w:basedOn w:val="Normal"/>
    <w:uiPriority w:val="99"/>
    <w:qFormat/>
    <w:pPr/>
    <w:rPr/>
  </w:style>
  <w:style w:type="paragraph" w:styleId="TableHeading1" w:customStyle="1">
    <w:name w:val="Table Heading1"/>
    <w:basedOn w:val="TableContents1"/>
    <w:uiPriority w:val="99"/>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LibreOffice/6.4.7.2$Linux_X86_64 LibreOffice_project/40$Build-2</Application>
  <Pages>19</Pages>
  <Words>8138</Words>
  <Characters>57258</Characters>
  <CharactersWithSpaces>64842</CharactersWithSpaces>
  <Paragraphs>338</Paragraphs>
  <Company>TPSB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2020-01-24T06:23:00Z</dcterms:created>
  <dc:creator>vic</dc:creator>
  <dc:description/>
  <dc:language>ru-RU</dc:language>
  <cp:lastModifiedBy/>
  <dcterms:modified xsi:type="dcterms:W3CDTF">2022-01-25T12:09:05Z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TPSB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